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案例-戊诉己服务合同案-教育培训退款</w:t>
      </w:r>
    </w:p>
    <w:p>
      <w:r>
        <w:t>【关键词】民事；服务合同；教育培训；预付款退款</w:t>
      </w:r>
    </w:p>
    <w:p>
      <w:r>
        <w:t>【裁判要点】经营者以预收款方式提供服务的，应当按照约定提供。未按照约定提供的，应当按照消费者的要求退回预付款。</w:t>
      </w:r>
    </w:p>
    <w:p>
      <w:r>
        <w:t>【相关法条】《中华人民共和国消费者权益保护法》第五十三条</w:t>
      </w:r>
    </w:p>
    <w:p>
      <w:r>
        <w:t>【基本案情】戊在己培训机构报名课程，预付学费2万元。上了几节课后，培训机构更换老师，课程质量大幅下降。戊要求退还剩余学费。</w:t>
      </w:r>
    </w:p>
    <w:p>
      <w:r>
        <w:t>【裁判结果】法院判决培训机构退还戊剩余学费。</w:t>
      </w:r>
    </w:p>
    <w:p>
      <w:r>
        <w:t>【裁判理由】培训机构变更合同内容导致服务质量下降，戊有权解除合同并要求退款。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