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案例-戊诉己租赁合同案-优先购买权</w:t>
      </w:r>
    </w:p>
    <w:p>
      <w:r>
        <w:t>【关键词】民事；租赁合同；优先购买权；房屋出售</w:t>
      </w:r>
    </w:p>
    <w:p>
      <w:r>
        <w:t>【裁判要点】出租人出卖租赁房屋的，应当在出卖之前的合理期限内通知承租人，承租人享有以同等条件优先购买的权利。</w:t>
      </w:r>
    </w:p>
    <w:p>
      <w:r>
        <w:t>【相关法条】《中华人民共和国民法典》第七百二十六条</w:t>
      </w:r>
    </w:p>
    <w:p>
      <w:r>
        <w:t>【基本案情】戊承租己的房屋，租期五年。第三年己将房屋出售给庚，未通知戊。戊主张优先购买权。</w:t>
      </w:r>
    </w:p>
    <w:p>
      <w:r>
        <w:t>【裁判结果】法院判决戊享有优先购买权。</w:t>
      </w:r>
    </w:p>
    <w:p>
      <w:r>
        <w:t>【裁判理由】己出售房屋未通知戊，侵犯了戊的优先购买权。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