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案例-戊诉己继承纠纷案-遗嘱效力</w:t>
      </w:r>
    </w:p>
    <w:p>
      <w:r>
        <w:t>【关键词】民事；继承；遗嘱效力；自书遗嘱；形式要件</w:t>
      </w:r>
    </w:p>
    <w:p>
      <w:r>
        <w:t>【裁判要点】自书遗嘱由遗嘱人亲笔书写，签名，注明年、月、日。代书遗嘱应当有两个以上见证人在场见证，由其中一人代书，注明年、月、日，并由代书人、其他见证人和遗嘱人签名。</w:t>
      </w:r>
    </w:p>
    <w:p>
      <w:r>
        <w:t>【相关法条】《中华人民共和国民法典》第一千一百三十四条、第一千一百三十五条</w:t>
      </w:r>
    </w:p>
    <w:p>
      <w:r>
        <w:t>【基本案情】被继承人去世后留下一套房产。戊持一份自书遗嘱主张继承，己持一份代书遗嘱主张继承。经鉴定，戊的自书遗嘱确系被继承人亲笔书写。己的代书遗嘱只有一名见证人签名。</w:t>
      </w:r>
    </w:p>
    <w:p>
      <w:r>
        <w:t>【裁判结果】法院认定戊的自书遗嘱有效，按照遗嘱由戊继承房产。</w:t>
      </w:r>
    </w:p>
    <w:p>
      <w:r>
        <w:t>【裁判理由】戊的自书遗嘱符合法律规定的形式要件，合法有效。己的代书遗嘱缺少一名见证人签名，不符合代书遗嘱的法定形式要件，无效。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