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案例-戊诉己肖像权纠纷案</w:t>
      </w:r>
    </w:p>
    <w:p>
      <w:r>
        <w:t>【关键词】民事；肖像权；未经同意使用；商业用途</w:t>
      </w:r>
    </w:p>
    <w:p>
      <w:r>
        <w:t>【裁判要点】任何组织或者个人不得以丑化、污损，或者利用信息技术手段伪造等方式侵害他人的肖像权。未经肖像权人同意，不得制作、使用、公开肖像权人的肖像。</w:t>
      </w:r>
    </w:p>
    <w:p>
      <w:r>
        <w:t>【相关法条】《中华人民共和国民法典》第一千零一十九条</w:t>
      </w:r>
    </w:p>
    <w:p>
      <w:r>
        <w:t>【基本案情】己未经戊同意，将戊的照片用于商业广告。戊要求己停止使用并赔偿损失。</w:t>
      </w:r>
    </w:p>
    <w:p>
      <w:r>
        <w:t>【裁判结果】法院判决己停止使用戊的肖像并赔偿损失。</w:t>
      </w:r>
    </w:p>
    <w:p>
      <w:r>
        <w:t>【裁判理由】己未经戊同意使用其肖像用于商业目的，侵犯了戊的肖像权。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