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案例-戊诉己证券公司证券交易纠纷案-内幕交易</w:t>
      </w:r>
    </w:p>
    <w:p>
      <w:r>
        <w:t>【关键词】民事；证券；内幕交易；民事赔偿；因果关系</w:t>
      </w:r>
    </w:p>
    <w:p>
      <w:r>
        <w:t>【裁判要点】内幕交易行为人应当对内幕交易期间从事相反交易的投资者承担民事赔偿责任。内幕交易与投资者损失之间存在因果关系的，投资者有权要求赔偿。</w:t>
      </w:r>
    </w:p>
    <w:p>
      <w:r>
        <w:t>【相关法条】《中华人民共和国证券法》第五十三条</w:t>
      </w:r>
    </w:p>
    <w:p>
      <w:r>
        <w:t>【基本案情】己证券公司高管在知悉公司重大并购信息后，在信息公开前大量买入相关股票。信息公开后股价大涨，己卖出获利。戊在内幕交易期间卖出该股票，遭受损失。戊起诉要求赔偿。</w:t>
      </w:r>
    </w:p>
    <w:p>
      <w:r>
        <w:t>【裁判结果】法院判决己赔偿戊的投资损失。</w:t>
      </w:r>
    </w:p>
    <w:p>
      <w:r>
        <w:t>【裁判理由】己利用内幕信息进行交易，构成内幕交易。戊在内幕交易期间从事相反交易并遭受损失，损失与内幕交易之间存在因果关系，己应当赔偿。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