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案例-戊诉己财产损害赔偿案-相邻权</w:t>
      </w:r>
    </w:p>
    <w:p>
      <w:r>
        <w:t>【关键词】民事；财产损害；相邻权；排水纠纷</w:t>
      </w:r>
    </w:p>
    <w:p>
      <w:r>
        <w:t>【裁判要点】不动产的相邻权利人应当按照有利生产、方便生活、团结互助、公平合理的原则，正确处理相邻关系。</w:t>
      </w:r>
    </w:p>
    <w:p>
      <w:r>
        <w:t>【相关法条】《中华人民共和国民法典》第二百八十八条、第二百九十条</w:t>
      </w:r>
    </w:p>
    <w:p>
      <w:r>
        <w:t>【基本案情】己在自家院内加高地基，导致雨水全部排入戊的院内，造成戊房屋受损。戊要求己排除妨害并赔偿损失。</w:t>
      </w:r>
    </w:p>
    <w:p>
      <w:r>
        <w:t>【裁判结果】法院判决己恢复原状并赔偿戊的损失。</w:t>
      </w:r>
    </w:p>
    <w:p>
      <w:r>
        <w:t>【裁判理由】己的行为侵犯了戊的相邻权，应排除妨害并赔偿损失。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