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案例-戊诉己违反安全保障义务案-游泳馆</w:t>
      </w:r>
    </w:p>
    <w:p>
      <w:r>
        <w:t>【关键词】民事；侵权责任；安全保障义务；游泳馆</w:t>
      </w:r>
    </w:p>
    <w:p>
      <w:r>
        <w:t>【裁判要点】经营性公共场所的经营者应当尽到安全保障义务，包括配备足够的救生人员和设备。未尽到安全保障义务造成他人损害的，应当承担侵权责任。</w:t>
      </w:r>
    </w:p>
    <w:p>
      <w:r>
        <w:t>【相关法条】《中华人民共和国民法典》第一千一百九十八条</w:t>
      </w:r>
    </w:p>
    <w:p>
      <w:r>
        <w:t>【基本案情】戊在某游泳馆游泳时溺水。当时游泳馆未安排足够的救生人员。戊因抢救不及时导致严重脑损伤。</w:t>
      </w:r>
    </w:p>
    <w:p>
      <w:r>
        <w:t>【裁判结果】法院判决游泳馆承担主要赔偿责任。</w:t>
      </w:r>
    </w:p>
    <w:p>
      <w:r>
        <w:t>【裁判理由】游泳馆未配备足够的救生人员，未尽到安全保障义务，应承担主要赔偿责任。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