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案例-李某失火案</w:t>
      </w:r>
    </w:p>
    <w:p>
      <w:r>
        <w:t>【关键词】刑事；失火罪；过失；严重后果</w:t>
      </w:r>
    </w:p>
    <w:p>
      <w:r>
        <w:t>【裁判要点】过失引起火灾，造成严重后果的，处三年以上七年以下有期徒刑。情节较轻的，处三年以下有期徒刑或者拘役。</w:t>
      </w:r>
    </w:p>
    <w:p>
      <w:r>
        <w:t>【相关法条】《中华人民共和国刑法》第一百一十五条第二款</w:t>
      </w:r>
    </w:p>
    <w:p>
      <w:r>
        <w:t>【基本案情】李某在野外焚烧秸秆，因风势较大导致火势蔓延，引发森林火灾，烧毁林木面积200余亩。</w:t>
      </w:r>
    </w:p>
    <w:p>
      <w:r>
        <w:t>【裁判结果】法院以失火罪判处李某有期徒刑三年，缓刑四年。</w:t>
      </w:r>
    </w:p>
    <w:p>
      <w:r>
        <w:t>【裁判理由】李某过失引起火灾，造成严重后果，构成失火罪。鉴于李某积极赔偿损失，可适用缓刑。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