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案例-李某非法经营案-外汇</w:t>
      </w:r>
    </w:p>
    <w:p>
      <w:r>
        <w:t>【关键词】刑事；非法经营罪；外汇；资金支付结算</w:t>
      </w:r>
    </w:p>
    <w:p>
      <w:r>
        <w:t>【裁判要点】违反国家规定，未经国家有关主管部门批准，非法经营证券、期货、保险业务的，或者非法从事资金支付结算业务的，构成非法经营罪。</w:t>
      </w:r>
    </w:p>
    <w:p>
      <w:r>
        <w:t>【相关法条】《中华人民共和国刑法》第二百二十五条</w:t>
      </w:r>
    </w:p>
    <w:p>
      <w:r>
        <w:t>【基本案情】李某未经批准，私自从事外汇兑换业务，交易金额达1000万元。</w:t>
      </w:r>
    </w:p>
    <w:p>
      <w:r>
        <w:t>【裁判结果】法院以非法经营罪判处李某有期徒刑四年。</w:t>
      </w:r>
    </w:p>
    <w:p>
      <w:r>
        <w:t>【裁判理由】李某未经批准非法从事外汇业务，扰乱金融秩序，构成非法经营罪。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