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案例-某公益组织诉某企业环境公益诉讼案</w:t>
      </w:r>
    </w:p>
    <w:p>
      <w:r>
        <w:t>【关键词】民事；环境公益诉讼；社会组织；生态修复</w:t>
      </w:r>
    </w:p>
    <w:p>
      <w:r>
        <w:t>【裁判要点】对污染环境、破坏生态，损害社会公共利益的行为，符合条件的社会组织可以向人民法院提起诉讼。环境公益诉讼的判决可以包含停止侵害、修复生态、赔偿损失等内容。</w:t>
      </w:r>
    </w:p>
    <w:p>
      <w:r>
        <w:t>【相关法条】《中华人民共和国环境保护法》第五十八条</w:t>
      </w:r>
    </w:p>
    <w:p>
      <w:r>
        <w:t>【基本案情】某公益组织发现某企业长期向河流排放未经处理的工业废水，严重污染水环境。该公益组织依法提起环境公益诉讼，要求企业停止排污、修复生态并赔偿环境损失。</w:t>
      </w:r>
    </w:p>
    <w:p>
      <w:r>
        <w:t>【裁判结果】法院判决企业停止排污行为，承担生态修复费用。</w:t>
      </w:r>
    </w:p>
    <w:p>
      <w:r>
        <w:t>【裁判理由】企业的排污行为严重污染水环境，损害了社会公共利益。公益组织依法有权提起环境公益诉讼。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