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案例-某村民小组诉县政府土地征收补偿案</w:t>
      </w:r>
    </w:p>
    <w:p>
      <w:r>
        <w:t>【关键词】行政；土地征收；补偿标准；程序违法</w:t>
      </w:r>
    </w:p>
    <w:p>
      <w:r>
        <w:t>【裁判要点】征收土地应当给予公平、合理的补偿，保障被征地农民原有生活水平不降低、长远生计有保障。征收土地应当依法及时足额支付土地补偿费、安置补助费以及农村村民住宅、其他地上附着物和青苗等的补偿费用。</w:t>
      </w:r>
    </w:p>
    <w:p>
      <w:r>
        <w:t>【相关法条】《中华人民共和国土地管理法》第四十八条</w:t>
      </w:r>
    </w:p>
    <w:p>
      <w:r>
        <w:t>【基本案情】某县政府征收某村民小组的集体土地，但补偿标准明显低于市场价格，且未依法进行公告和听证。村民小组提起行政诉讼。</w:t>
      </w:r>
    </w:p>
    <w:p>
      <w:r>
        <w:t>【裁判结果】法院判决撤销征收补偿决定，责令重新作出补偿。</w:t>
      </w:r>
    </w:p>
    <w:p>
      <w:r>
        <w:t>【裁判理由】县政府的征收补偿标准不符合法律规定，且程序违法，应当重新作出补偿决定。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