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案例-某科技公司数据泄露案-行政责任</w:t>
      </w:r>
    </w:p>
    <w:p>
      <w:r>
        <w:t>【关键词】行政；数据安全；个人信息保护；行政处罚</w:t>
      </w:r>
    </w:p>
    <w:p>
      <w:r>
        <w:t>【裁判要点】开展数据处理活动未依照法律、法规的规定建立健全全流程数据安全管理制度的，由有关主管部门责令改正，给予警告，可以并处罚款。</w:t>
      </w:r>
    </w:p>
    <w:p>
      <w:r>
        <w:t>【相关法条】《中华人民共和国数据安全法》第四十五条</w:t>
      </w:r>
    </w:p>
    <w:p>
      <w:r>
        <w:t>【基本案情】某科技公司因安全管理制度不完善，导致大量用户个人信息泄露。网信部门依法对该公司作出行政处罚。</w:t>
      </w:r>
    </w:p>
    <w:p>
      <w:r>
        <w:t>【裁判结果】法院维持网信部门的行政处罚决定。</w:t>
      </w:r>
    </w:p>
    <w:p>
      <w:r>
        <w:t>【裁判理由】科技公司未建立健全数据安全管理制度，导致用户信息泄露，网信部门依法有权作出行政处罚。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