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案例-王某诉某公司劳动争议案-女职工保护</w:t>
      </w:r>
    </w:p>
    <w:p>
      <w:r>
        <w:t>【关键词】民事；劳动争议；女职工；孕期；违法解除</w:t>
      </w:r>
    </w:p>
    <w:p>
      <w:r>
        <w:t>【裁判要点】女职工在孕期、产期、哺乳期内的，用人单位不得解除劳动合同。用人单位违法解除的，应当支付赔偿金。</w:t>
      </w:r>
    </w:p>
    <w:p>
      <w:r>
        <w:t>【相关法条】《中华人民共和国劳动合同法》第四十二条、第四十八条</w:t>
      </w:r>
    </w:p>
    <w:p>
      <w:r>
        <w:t>【基本案情】王某怀孕后，公司以岗位调整为由解除劳动合同。王某要求继续履行合同或支付赔偿金。</w:t>
      </w:r>
    </w:p>
    <w:p>
      <w:r>
        <w:t>【裁判结果】法院判决公司支付违法解除劳动合同的赔偿金。</w:t>
      </w:r>
    </w:p>
    <w:p>
      <w:r>
        <w:t>【裁判理由】公司不得在女职工孕期解除劳动合同，属于违法解除，应支付赔偿金。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