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案例-甲公司诉乙公司合同纠纷案-情势变更</w:t>
      </w:r>
    </w:p>
    <w:p>
      <w:r>
        <w:t>【关键词】民事；合同纠纷；情势变更；解除合同</w:t>
      </w:r>
    </w:p>
    <w:p>
      <w:r>
        <w:t>【裁判要点】合同成立后，合同的基础条件发生了当事人在订立合同时无法预见的、不属于商业风险的重大变化，继续履行合同对于当事人一方明显不公平的，受不利影响的当事人可以与对方重新协商。在合理期限内协商不成的，当事人可以请求人民法院变更或者解除合同。</w:t>
      </w:r>
    </w:p>
    <w:p>
      <w:r>
        <w:t>【相关法条】《中华人民共和国民法典》第五百三十三条</w:t>
      </w:r>
    </w:p>
    <w:p>
      <w:r>
        <w:t>【基本案情】甲公司与乙公司签订原材料供应合同，约定固定价格。后因国际市场变化，原材料价格暴涨300%。乙公司要求重新协商价格。</w:t>
      </w:r>
    </w:p>
    <w:p>
      <w:r>
        <w:t>【裁判结果】法院根据情势变更原则，调整合同价格。</w:t>
      </w:r>
    </w:p>
    <w:p>
      <w:r>
        <w:t>【裁判理由】原材料价格暴涨属于情势变更，继续按原价履行对乙公司明显不公平，应适当调整。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