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案例-甲公司诉乙公司承揽合同案-验收异议</w:t>
      </w:r>
    </w:p>
    <w:p>
      <w:r>
        <w:t>【关键词】民事；承揽合同；验收；质量异议</w:t>
      </w:r>
    </w:p>
    <w:p>
      <w:r>
        <w:t>【裁判要点】定作人应当按照约定的期限支付报酬。定作人未向承揽人支付报酬或者材料费等价款的，承揽人对完成的工作成果享有留置权或者有权拒绝交付。</w:t>
      </w:r>
    </w:p>
    <w:p>
      <w:r>
        <w:t>【相关法条】《中华人民共和国民法典》第七百八十三条</w:t>
      </w:r>
    </w:p>
    <w:p>
      <w:r>
        <w:t>【基本案情】甲公司委托乙公司加工一批零件。乙公司完成加工后，甲公司以质量不合格为由拒绝付款，但未在约定的检验期内提出异议。</w:t>
      </w:r>
    </w:p>
    <w:p>
      <w:r>
        <w:t>【裁判结果】法院判决甲公司支付加工费。</w:t>
      </w:r>
    </w:p>
    <w:p>
      <w:r>
        <w:t>【裁判理由】甲公司未在检验期内提出质量异议，应视为验收合格。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