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案例-甲诉乙人格权纠纷案-姓名权</w:t>
      </w:r>
    </w:p>
    <w:p>
      <w:r>
        <w:t>【关键词】民事；商标侵权；驰名商标；跨类保护</w:t>
      </w:r>
    </w:p>
    <w:p>
      <w:r>
        <w:t>【裁判要点】为相关公众所熟知的商标，持有人认为其权利受到侵害时，可以请求驰名商标保护。就不相同或者不相类似商品申请注册的商标是复制、摹仿或者翻译他人已经在中国注册的驰名商标，误导公众，致使该驰名商标注册人的利益可能受到损害的，不予注册并禁止使用。</w:t>
      </w:r>
    </w:p>
    <w:p>
      <w:r>
        <w:t>【相关法条】《中华人民共和国商标法》第十三条</w:t>
      </w:r>
    </w:p>
    <w:p>
      <w:r>
        <w:t>【基本案情】甲公司的商标被认定为驰名商标，用于电子产品。乙公司在食品上使用与甲公司商标近似的标识。甲公司起诉。</w:t>
      </w:r>
    </w:p>
    <w:p>
      <w:r>
        <w:t>【裁判结果】法院判决乙公司停止侵权。</w:t>
      </w:r>
    </w:p>
    <w:p>
      <w:r>
        <w:t>【裁判理由】甲公司商标为驰名商标，乙公司在不类似商品上使用近似标识构成侵权。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