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案例-甲诉乙仓储合同案-货物损坏</w:t>
      </w:r>
    </w:p>
    <w:p>
      <w:r>
        <w:t>【关键词】民事；仓储合同；货物损坏；保管人责任</w:t>
      </w:r>
    </w:p>
    <w:p>
      <w:r>
        <w:t>【裁判要点】储存期内，因保管不善造成仓储物毁损、灭失的，保管人应当承担赔偿责任。因仓储物本身的自然性质、包装不符合约定或者超过有效储存期造成仓储物变质、损坏的，保管人不承担赔偿责任。</w:t>
      </w:r>
    </w:p>
    <w:p>
      <w:r>
        <w:t>【相关法条】《中华人民共和国民法典》第九百一十七条</w:t>
      </w:r>
    </w:p>
    <w:p>
      <w:r>
        <w:t>【基本案情】甲将一批货物存放于乙的仓库。因乙的仓库漏水，导致货物受潮损坏。甲要求乙赔偿。</w:t>
      </w:r>
    </w:p>
    <w:p>
      <w:r>
        <w:t>【裁判结果】法院判决乙赔偿甲的货物损失。</w:t>
      </w:r>
    </w:p>
    <w:p>
      <w:r>
        <w:t>【裁判理由】乙保管不善导致货物损坏，应承担赔偿责任。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