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案例-甲诉乙保险公司意外险理赔案</w:t>
      </w:r>
    </w:p>
    <w:p>
      <w:r>
        <w:t>【关键词】民事；保险合同；意外险；理赔；免责条款</w:t>
      </w:r>
    </w:p>
    <w:p>
      <w:r>
        <w:t>【裁判要点】被保险人因意外伤害导致身故或者伤残的，保险人应当按照约定给付保险金。保险合同中关于免除保险人责任的条款，保险人应当作出足以引起投保人注意的提示。</w:t>
      </w:r>
    </w:p>
    <w:p>
      <w:r>
        <w:t>【相关法条】《中华人民共和国保险法》第十七条</w:t>
      </w:r>
    </w:p>
    <w:p>
      <w:r>
        <w:t>【基本案情】甲购买了意外伤害保险。甲在户外运动时意外受伤，申请理赔。保险公司以甲参加高风险运动为由拒赔。</w:t>
      </w:r>
    </w:p>
    <w:p>
      <w:r>
        <w:t>【裁判结果】法院判决保险公司支付保险金。</w:t>
      </w:r>
    </w:p>
    <w:p>
      <w:r>
        <w:t>【裁判理由】保险公司未对免责条款履行提示说明义务，该条款不产生效力。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