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案例-甲诉乙定金纠纷案</w:t>
      </w:r>
    </w:p>
    <w:p>
      <w:r>
        <w:t>【关键词】民事；定金；双倍返还；违约</w:t>
      </w:r>
    </w:p>
    <w:p>
      <w:r>
        <w:t>【裁判要点】给付定金的一方不履行债务或者履行债务不符合约定，致使不能实现合同目的的，无权请求返还定金。收受定金的一方不履行债务或者履行债务不符合约定，致使不能实现合同目的的，应当双倍返还定金。</w:t>
      </w:r>
    </w:p>
    <w:p>
      <w:r>
        <w:t>【相关法条】《中华人民共和国民法典》第五百八十七条</w:t>
      </w:r>
    </w:p>
    <w:p>
      <w:r>
        <w:t>【基本案情】甲向乙购买一批货物，支付定金10万元。后乙因价格上涨拒绝交货。甲要求乙双倍返还定金。</w:t>
      </w:r>
    </w:p>
    <w:p>
      <w:r>
        <w:t>【裁判结果】法院判决乙双倍返还定金20万元。</w:t>
      </w:r>
    </w:p>
    <w:p>
      <w:r>
        <w:t>【裁判理由】乙收受定金后拒绝交货，构成违约，应双倍返还定金。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