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案例-甲诉乙校园伤害责任案</w:t>
      </w:r>
    </w:p>
    <w:p>
      <w:r>
        <w:t>【关键词】民事；侵权责任；校园伤害；教育机构责任；限制民事行为能力人</w:t>
      </w:r>
    </w:p>
    <w:p>
      <w:r>
        <w:t>【裁判要点】限制民事行为能力人在学校或者其他教育机构学习、生活期间受到人身损害的，学校或者其他教育机构未尽到教育、管理职责的，应当承担侵权责任。</w:t>
      </w:r>
    </w:p>
    <w:p>
      <w:r>
        <w:t>【相关法条】《中华人民共和国民法典》第一千二百条</w:t>
      </w:r>
    </w:p>
    <w:p>
      <w:r>
        <w:t>【基本案情】甲（12岁）在学校课间休息时被同学乙推倒，导致手臂骨折。甲的家长认为学校未尽到管理职责，要求学校和乙的家长共同赔偿。</w:t>
      </w:r>
    </w:p>
    <w:p>
      <w:r>
        <w:t>【裁判结果】法院判决乙的家长承担70%的赔偿责任，学校承担30%的赔偿责任。</w:t>
      </w:r>
    </w:p>
    <w:p>
      <w:r>
        <w:t>【裁判理由】乙的行为直接导致甲受伤，乙的家长作为监护人应承担主要赔偿责任。学校在课间休息时未安排足够的管理人员，未尽到管理职责，应承担相应的补充责任。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