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案例-甲诉乙物业服务合同案-车位纠纷</w:t>
      </w:r>
    </w:p>
    <w:p>
      <w:r>
        <w:t>【关键词】民事；物业服务合同；车位；共有部分</w:t>
      </w:r>
    </w:p>
    <w:p>
      <w:r>
        <w:t>【裁判要点】建筑区划内的道路、绿地、其他公共场所、公用设施和物业服务用房，属于业主共有。占用业主共有的道路或者其他场地用于停放汽车的车位，属于业主共有。</w:t>
      </w:r>
    </w:p>
    <w:p>
      <w:r>
        <w:t>【相关法条】《中华人民共和国民法典》第二百七十五条</w:t>
      </w:r>
    </w:p>
    <w:p>
      <w:r>
        <w:t>【基本案情】甲购买小区房屋后，物业公司将小区公共区域划为收费车位。甲认为公共区域属于业主共有，不应收费。</w:t>
      </w:r>
    </w:p>
    <w:p>
      <w:r>
        <w:t>【裁判结果】法院判决物业公司停止收费。</w:t>
      </w:r>
    </w:p>
    <w:p>
      <w:r>
        <w:t>【裁判理由】公共区域属于业主共有，物业公司无权擅自划为收费车位。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