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案例-甲诉乙离婚案-家庭主妇家务补偿</w:t>
      </w:r>
    </w:p>
    <w:p>
      <w:r>
        <w:t>【关键词】民事；离婚；家务劳动；经济补偿</w:t>
      </w:r>
    </w:p>
    <w:p>
      <w:r>
        <w:t>【裁判要点】夫妻一方因抚育子女、照料老年人、协助另一方工作等负担较多义务的，离婚时有权向另一方请求补偿，另一方应当给予补偿。</w:t>
      </w:r>
    </w:p>
    <w:p>
      <w:r>
        <w:t>【相关法条】《中华人民共和国民法典》第一千零八十八条</w:t>
      </w:r>
    </w:p>
    <w:p>
      <w:r>
        <w:t>【基本案情】甲（女）婚后在家全职照顾家庭和孩子十年。离婚时甲要求乙支付家务劳动补偿。</w:t>
      </w:r>
    </w:p>
    <w:p>
      <w:r>
        <w:t>【裁判结果】法院判决乙支付甲家务劳动补偿金。</w:t>
      </w:r>
    </w:p>
    <w:p>
      <w:r>
        <w:t>【裁判理由】甲为家庭付出较多义务，有权获得经济补偿。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