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案例-甲诉乙离婚案-家庭暴力举证</w:t>
      </w:r>
    </w:p>
    <w:p>
      <w:r>
        <w:t>【关键词】民事；离婚；家庭暴力；举证责任；人身安全保护令</w:t>
      </w:r>
    </w:p>
    <w:p>
      <w:r>
        <w:t>【裁判要点】当事人因遭受家庭暴力或者面临家庭暴力的现实危险，可以向人民法院申请人身安全保护令。</w:t>
      </w:r>
    </w:p>
    <w:p>
      <w:r>
        <w:t>【相关法条】《中华人民共和国反家庭暴力法》第二十三条</w:t>
      </w:r>
    </w:p>
    <w:p>
      <w:r>
        <w:t>【基本案情】甲（女）长期遭受丈夫乙的家庭暴力。甲提供了报警记录、伤情照片等证据，起诉离婚并申请人身安全保护令。</w:t>
      </w:r>
    </w:p>
    <w:p>
      <w:r>
        <w:t>【裁判结果】法院判决准予离婚，并发出人身安全保护令。</w:t>
      </w:r>
    </w:p>
    <w:p>
      <w:r>
        <w:t>【裁判理由】甲提供的证据足以证明乙实施了家庭暴力，应准予离婚。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