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案例-甲诉乙离婚案-彩礼返还</w:t>
      </w:r>
    </w:p>
    <w:p>
      <w:r>
        <w:t>【关键词】民事；离婚；彩礼返还；共同生活时间短</w:t>
      </w:r>
    </w:p>
    <w:p>
      <w:r>
        <w:t>【裁判要点】双方办理结婚登记手续但确未共同生活的，当事人请求返还按照习俗给付的彩礼的，人民法院应当予以支持。</w:t>
      </w:r>
    </w:p>
    <w:p>
      <w:r>
        <w:t>【相关法条】《最高人民法院关于适用〈中华人民共和国民法典〉婚姻家庭编的解释（一）》第五条</w:t>
      </w:r>
    </w:p>
    <w:p>
      <w:r>
        <w:t>【基本案情】甲向乙支付彩礼20万元后登记结婚。婚后双方仅共同生活一个月即分居。甲起诉离婚并要求返还彩礼。</w:t>
      </w:r>
    </w:p>
    <w:p>
      <w:r>
        <w:t>【裁判结果】法院判决乙返还部分彩礼。</w:t>
      </w:r>
    </w:p>
    <w:p>
      <w:r>
        <w:t>【裁判理由】双方共同生活时间极短，应适当返还彩礼。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