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案例-甲诉某人社局工伤认定案</w:t>
      </w:r>
    </w:p>
    <w:p>
      <w:r>
        <w:t>【关键词】行政；工伤认定；工作时间；工作场所；工作原因</w:t>
      </w:r>
    </w:p>
    <w:p>
      <w:r>
        <w:t>【裁判要点】职工在工作时间和工作场所内，因工作原因受到事故伤害的，应当认定为工伤。</w:t>
      </w:r>
    </w:p>
    <w:p>
      <w:r>
        <w:t>【相关法条】《工伤保险条例》第十四条</w:t>
      </w:r>
    </w:p>
    <w:p>
      <w:r>
        <w:t>【基本案情】甲在工作时间因操作机器受伤。人社局不予认定工伤。甲提起行政诉讼。</w:t>
      </w:r>
    </w:p>
    <w:p>
      <w:r>
        <w:t>【裁判结果】法院撤销人社局的决定，责令重新认定。</w:t>
      </w:r>
    </w:p>
    <w:p>
      <w:r>
        <w:t>【裁判理由】甲在工作时间因工作原因受伤，符合工伤认定条件。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