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案例-甲诉某公安局行政拘留案-程序违法</w:t>
      </w:r>
    </w:p>
    <w:p>
      <w:r>
        <w:t>【关键词】行政；行政拘留；程序违法；听证权利</w:t>
      </w:r>
    </w:p>
    <w:p>
      <w:r>
        <w:t>【裁判要点】行政机关作出行政拘留决定前，应当告知当事人有要求听证的权利。未告知听证权利的，行政处罚程序违法。</w:t>
      </w:r>
    </w:p>
    <w:p>
      <w:r>
        <w:t>【相关法条】《中华人民共和国行政处罚法》第四十四条、第六十三条</w:t>
      </w:r>
    </w:p>
    <w:p>
      <w:r>
        <w:t>【基本案情】甲因与人发生争执被公安局处以行政拘留5日。公安局在作出处罚决定前未告知甲有要求听证的权利。</w:t>
      </w:r>
    </w:p>
    <w:p>
      <w:r>
        <w:t>【裁判结果】法院撤销公安局的行政处罚决定。</w:t>
      </w:r>
    </w:p>
    <w:p>
      <w:r>
        <w:t>【裁判理由】公安局未履行听证告知义务，程序违法，处罚决定应予撤销。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