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案例-甲诉某规划局规划许可案</w:t>
      </w:r>
    </w:p>
    <w:p>
      <w:r>
        <w:t>【关键词】行政；规划许可；相邻权；采光权</w:t>
      </w:r>
    </w:p>
    <w:p>
      <w:r>
        <w:t>【裁判要点】建设项目的规划许可不得损害相邻权利人的合法权益。规划许可侵犯相邻权的，应当撤销。</w:t>
      </w:r>
    </w:p>
    <w:p>
      <w:r>
        <w:t>【相关法条】《中华人民共和国城乡规划法》第四十条</w:t>
      </w:r>
    </w:p>
    <w:p>
      <w:r>
        <w:t>【基本案情】某规划局批准某开发商在甲住宅楼旁建设高层建筑，严重影响甲的采光。甲提起行政诉讼。</w:t>
      </w:r>
    </w:p>
    <w:p>
      <w:r>
        <w:t>【裁判结果】法院撤销规划许可决定。</w:t>
      </w:r>
    </w:p>
    <w:p>
      <w:r>
        <w:t>【裁判理由】规划许可严重侵犯了甲的采光权，应予撤销。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