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案例-赵某侵犯著作权案-盗版软件</w:t>
      </w:r>
    </w:p>
    <w:p>
      <w:r>
        <w:t>【关键词】刑事；侵犯著作权罪；盗版软件；复制发行</w:t>
      </w:r>
    </w:p>
    <w:p>
      <w:r>
        <w:t>【裁判要点】以营利为目的，未经著作权人许可，复制发行其文字作品、音乐、电影、电视、录像作品、计算机软件及其他作品的，违法所得数额较大或者有其他严重情节的，构成侵犯著作权罪。</w:t>
      </w:r>
    </w:p>
    <w:p>
      <w:r>
        <w:t>【相关法条】《中华人民共和国刑法》第二百一十七条</w:t>
      </w:r>
    </w:p>
    <w:p>
      <w:r>
        <w:t>【基本案情】赵某大量复制发行盗版操作系统软件，违法获利20万元。</w:t>
      </w:r>
    </w:p>
    <w:p>
      <w:r>
        <w:t>【裁判结果】法院以侵犯著作权罪判处赵某有期徒刑二年。</w:t>
      </w:r>
    </w:p>
    <w:p>
      <w:r>
        <w:t>【裁判理由】赵某以营利为目的复制发行盗版软件，构成侵犯著作权罪。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