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案例-赵某诉某建筑公司工伤保险待遇案</w:t>
      </w:r>
    </w:p>
    <w:p>
      <w:r>
        <w:t>【关键词】民事；劳动争议；工伤保险；一次性伤残补助金；解除劳动关系</w:t>
      </w:r>
    </w:p>
    <w:p>
      <w:r>
        <w:t>【裁判要点】职工因工致残被鉴定为七级至十级伤残的，享受一次性伤残补助金。劳动合同期满终止，或者职工本人提出解除劳动合同的，由工伤保险基金支付一次性工伤医疗补助金，由用人单位支付一次性伤残就业补助金。</w:t>
      </w:r>
    </w:p>
    <w:p>
      <w:r>
        <w:t>【相关法条】《工伤保险条例》第三十七条</w:t>
      </w:r>
    </w:p>
    <w:p>
      <w:r>
        <w:t>【基本案情】赵某在某建筑公司工作时受伤，经鉴定为八级伤残。赵某治疗结束后，与公司解除劳动关系。赵某要求公司支付一次性伤残补助金、一次性工伤医疗补助金和一次性伤残就业补助金。</w:t>
      </w:r>
    </w:p>
    <w:p>
      <w:r>
        <w:t>【裁判结果】法院判决公司支付赵某各项工伤保险待遇共计25万元。</w:t>
      </w:r>
    </w:p>
    <w:p>
      <w:r>
        <w:t>【裁判理由】赵某因工致残八级，依法享受工伤保险待遇。公司应当支付一次性伤残补助金等各项待遇。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