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案例-郑某高空抛物案</w:t>
      </w:r>
    </w:p>
    <w:p>
      <w:r>
        <w:t>【关键词】刑事；高空抛物罪；从建筑物抛掷物品；情节严重</w:t>
      </w:r>
    </w:p>
    <w:p>
      <w:r>
        <w:t>【裁判要点】从建筑物或者其他高空抛掷物品，情节严重的，处一年以下有期徒刑、拘役或者管制，并处或者单处罚金。</w:t>
      </w:r>
    </w:p>
    <w:p>
      <w:r>
        <w:t>【相关法条】《中华人民共和国刑法》第二百九十二条之一</w:t>
      </w:r>
    </w:p>
    <w:p>
      <w:r>
        <w:t>【基本案情】郑某因与邻居争吵，从五楼窗户向楼下扔掷花盆、砖块等物品，险些砸中行人。</w:t>
      </w:r>
    </w:p>
    <w:p>
      <w:r>
        <w:t>【裁判结果】法院以高空抛物罪判处郑某有期徒刑六个月。</w:t>
      </w:r>
    </w:p>
    <w:p>
      <w:r>
        <w:t>【裁判理由】郑某从高空抛掷物品，情节严重，构成高空抛物罪。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