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案例-陈某非法采矿案</w:t>
      </w:r>
    </w:p>
    <w:p>
      <w:r>
        <w:t>【关键词】刑事；非法采矿罪；矿产资源；情节严重</w:t>
      </w:r>
    </w:p>
    <w:p>
      <w:r>
        <w:t>【裁判要点】违反矿产资源法的规定，未取得采矿许可证擅自采矿的，情节严重的，处三年以下有期徒刑、拘役或者管制，并处或者单处罚金。</w:t>
      </w:r>
    </w:p>
    <w:p>
      <w:r>
        <w:t>【相关法条】《中华人民共和国刑法》第三百四十三条</w:t>
      </w:r>
    </w:p>
    <w:p>
      <w:r>
        <w:t>【基本案情】陈某未取得采矿许可证，擅自在河道采砂出售，获利30万元。</w:t>
      </w:r>
    </w:p>
    <w:p>
      <w:r>
        <w:t>【裁判结果】法院以非法采矿罪判处陈某有期徒刑一年六个月。</w:t>
      </w:r>
    </w:p>
    <w:p>
      <w:r>
        <w:t>【裁判理由】陈某未取得采矿许可擅自采矿，情节严重，构成非法采矿罪。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