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案例-马某故意伤害致死案</w:t>
      </w:r>
    </w:p>
    <w:p>
      <w:r>
        <w:t>【关键词】刑事；故意伤害罪；致人死亡；自首</w:t>
      </w:r>
    </w:p>
    <w:p>
      <w:r>
        <w:t>【裁判要点】故意伤害他人身体致人死亡的，处十年以上有期徒刑、无期徒刑或者死刑。有自首情节的，可以从轻或者减轻处罚。</w:t>
      </w:r>
    </w:p>
    <w:p>
      <w:r>
        <w:t>【相关法条】《中华人民共和国刑法》第二百三十四条</w:t>
      </w:r>
    </w:p>
    <w:p>
      <w:r>
        <w:t>【基本案情】马某与邻居因宅基地纠纷发生争执，马某持铁锹击打邻居头部，致邻居当场死亡。马某作案后投案自首。</w:t>
      </w:r>
    </w:p>
    <w:p>
      <w:r>
        <w:t>【裁判结果】法院以故意伤害罪判处马某有期徒刑十五年。</w:t>
      </w:r>
    </w:p>
    <w:p>
      <w:r>
        <w:t>【裁判理由】马某故意伤害他人致死，后果严重。鉴于有自首情节，可从轻处罚。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