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案例-马某诉某公司违法解除劳动合同案</w:t>
      </w:r>
    </w:p>
    <w:p>
      <w:r>
        <w:t>【关键词】民事；劳动争议；违法解除；赔偿金；规章制度</w:t>
      </w:r>
    </w:p>
    <w:p>
      <w:r>
        <w:t>【裁判要点】用人单位的规章制度未经民主程序制定，且未向劳动者公示或告知的，不能作为解除劳动合同的依据。用人单位违法解除劳动合同的，应当按照经济补偿标准的二倍向劳动者支付赔偿金。</w:t>
      </w:r>
    </w:p>
    <w:p>
      <w:r>
        <w:t>【相关法条】《中华人民共和国劳动合同法》第四条、第四十七条、第八十七条</w:t>
      </w:r>
    </w:p>
    <w:p>
      <w:r>
        <w:t>【基本案情】马某在某公司工作五年。公司以马某严重违反公司规章制度为由解除劳动合同。马某认为公司所谓的"规章制度"未经职工代表大会讨论，也未向其公示。马某申请劳动仲裁，要求公司支付违法解除劳动合同的赔偿金。</w:t>
      </w:r>
    </w:p>
    <w:p>
      <w:r>
        <w:t>【裁判结果】法院判决公司支付马某违法解除劳动合同的赔偿金（10个月工资）。</w:t>
      </w:r>
    </w:p>
    <w:p>
      <w:r>
        <w:t>【裁判理由】公司的规章制度未经民主程序制定，也未向马某公示，不能作为解除劳动合同的依据。公司解除劳动合同缺乏合法依据，属于违法解除，应当支付赔偿金。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