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案例-马某走私案</w:t>
      </w:r>
    </w:p>
    <w:p>
      <w:r>
        <w:t>【关键词】刑事；走私罪；普通货物；偷逃税款</w:t>
      </w:r>
    </w:p>
    <w:p>
      <w:r>
        <w:t>【裁判要点】走私货物、物品偷逃应缴税额较大或者一年内曾因走私被给予二次行政处罚后又走私的，处三年以下有期徒刑或者拘役，并处偷逃应缴税额一倍以上五倍以下罚金。</w:t>
      </w:r>
    </w:p>
    <w:p>
      <w:r>
        <w:t>【相关法条】《中华人民共和国刑法》第一百五十三条</w:t>
      </w:r>
    </w:p>
    <w:p>
      <w:r>
        <w:t>【基本案情】马某通过伪报品名的方式走私进口电子产品，偷逃税款50万元。</w:t>
      </w:r>
    </w:p>
    <w:p>
      <w:r>
        <w:t>【裁判结果】法院以走私普通货物罪判处马某有期徒刑四年。</w:t>
      </w:r>
    </w:p>
    <w:p>
      <w:r>
        <w:t>【裁判理由】马某走私普通货物偷逃税款，数额较大，构成走私普通货物罪。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