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案例-黄某聚众斗殴案</w:t>
      </w:r>
    </w:p>
    <w:p>
      <w:r>
        <w:t>【关键词】刑事；聚众斗殴罪；首要分子；持械</w:t>
      </w:r>
    </w:p>
    <w:p>
      <w:r>
        <w:t>【裁判要点】聚众斗殴的，对首要分子和其他积极参加的，处三年以下有期徒刑、拘役或者管制。持械聚众斗殴的，对首要分子和其他积极参加的，处三年以上十年以下有期徒刑。</w:t>
      </w:r>
    </w:p>
    <w:p>
      <w:r>
        <w:t>【相关法条】《中华人民共和国刑法》第二百九十二条</w:t>
      </w:r>
    </w:p>
    <w:p>
      <w:r>
        <w:t>【基本案情】黄某纠集十余人与对方持械斗殴，造成多人受伤。黄某系首要分子。</w:t>
      </w:r>
    </w:p>
    <w:p>
      <w:r>
        <w:t>【裁判结果】法院以聚众斗殴罪判处黄某有期徒刑五年。</w:t>
      </w:r>
    </w:p>
    <w:p>
      <w:r>
        <w:t>【裁判理由】黄某纠集他人持械斗殴，系首要分子，应依法严惩。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