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Procurement Admission Policy v1.0</w:t>
      </w:r>
    </w:p>
    <w:p>
      <w:r>
        <w:t>1. Supplier registration status must be ACTIVE.</w:t>
      </w:r>
    </w:p>
    <w:p>
      <w:r>
        <w:t>2. Any CRITICAL integrity or fraud risk in the last 24 months requires rejection.</w:t>
      </w:r>
    </w:p>
    <w:p>
      <w:r>
        <w:t>3. At least three completed orders and a 90 percent on-time delivery rate are required.</w:t>
      </w:r>
    </w:p>
    <w:p>
      <w:r>
        <w:t>4. An ACTIVE prior or trial contract is required for standard admission.</w:t>
      </w:r>
    </w:p>
    <w:p>
      <w:r>
        <w:t>5. Missing screening, history, or contract evidence requires additional research and replan.</w:t>
      </w:r>
    </w:p>
    <w:p>
      <w:r>
        <w:t>6. Admission creation is an external side effect and requires explicit human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