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Second Update (9/24/2014)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Nirvanix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"http://www.forbes.com/sites/benkepes/2013/09/28/a-nirvanix-post-mortem-why-theres-no-replacement-for-due-diligence/" </w:instrText>
      </w:r>
      <w:r>
        <w:rPr>
          <w:rFonts w:ascii="Helvetica" w:hAnsi="Helvetica" w:eastAsia="Helvetica"/>
          <w:color w:val="#FF6633"/>
          <w:u w:val="single"/>
        </w:rPr>
        <w:fldChar w:fldCharType="separate"/>
      </w:r>
      <w:r>
        <w:rPr>
          <w:rFonts w:ascii="Helvetica" w:hAnsi="Helvetica" w:eastAsia="Helvetica"/>
          <w:color w:val="#FF6633"/>
          <w:u w:val="single"/>
        </w:rPr>
        <w:t xml:space="preserve">A Nirvanix Postmortem – Why There’s No Replacement For Due Diligence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"https://www.cbinsights.com/company/nirvanix" </w:instrText>
      </w:r>
      <w:r>
        <w:rPr>
          <w:rFonts w:ascii="Helvetica" w:hAnsi="Helvetica" w:eastAsia="Helvetica"/>
          <w:color w:val="#FF6633"/>
          <w:u w:val="single"/>
        </w:rPr>
        <w:fldChar w:fldCharType="separate"/>
      </w:r>
      <w:r>
        <w:rPr>
          <w:rFonts w:ascii="Helvetica" w:hAnsi="Helvetica" w:eastAsia="Helvetica"/>
          <w:color w:val="#FF6633"/>
          <w:u w:val="single"/>
        </w:rPr>
        <w:t xml:space="preserve">Nirvanix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"https://www.cbinsights.com/company/nirvanix"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https://www.cbinsights.com/company/nirvanix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INTERNET | Internet Software &amp; Services / Data Storage</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"https://nirvanix.com/" </w:instrText>
      </w:r>
      <w:r>
        <w:rPr>
          <w:rFonts w:ascii="Arial" w:hAnsi="Arial" w:eastAsia="Arial"/>
          <w:color w:val="#0563C1"/>
          <w:u w:val="single"/>
        </w:rPr>
        <w:fldChar w:fldCharType="separate"/>
      </w:r>
      <w:r>
        <w:rPr>
          <w:rFonts w:ascii="Arial" w:hAnsi="Arial" w:eastAsia="Arial"/>
          <w:color w:val="#0563C1"/>
          <w:u w:val="single"/>
        </w:rPr>
        <w:t xml:space="preserve">nirvanix.com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1998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$70M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color w:val="#000000"/>
        </w:rPr>
        <w:t xml:space="preserve">About Nirvanix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 is a provider of enterprise-class cloud storage services designed specifically for customers with expectations of extreme security, reliability and redundancy. Under its CloudComplete portfolio, Nirvanix offers fully managed public, hybrid and private cloud storage services with usage-based pricing. The company's second generation technology is utilized by IT OEMs and is fully integrated with third-party backup and archiving software products and appliances, enabling One Click to the Cloud.In September 2013, Nirvanix shut down notifiying users they needed to migrate their data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Nirvanix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9191 Towne Centre Drive Suite 510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Diego, California, 92122,</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619-764-5650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54"/>
        </w:rPr>
      </w:pPr>
      <w:r>
        <w:rPr>
          <w:b w:val="on"/>
          <w:color w:val="#000000"/>
          <w:sz w:val="54"/>
        </w:rPr>
        <w:t xml:space="preserve">A Nirvanix Post Mortem - Why There's No Replacement For Due Diligence</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rPr>
      </w:pPr>
      <w:r>
        <w:rPr>
          <w:b w:val="on"/>
          <w:color w:val="#000000"/>
        </w:rPr>
        <w:t xml:space="preserve">By Ben Kepes Former Contributor Sep 28, 2013,05:40am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 couple of weeks ago the industry was stunned when cloud storage provider Nirvanix sent an email customers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As is often the case in situations like this, there were plaintive wails from the naysayers that this is an example of why cloud computing can't be trusted and why we should all move back to the days of old. Presumably those same naysayers want us to use green-screen monitors, have a crusty old mainframe in the basement and use telex machines for communications... but I digress.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Today some clarity came from Nirvanix, who tore down their website and left a statement telling customers how to get in touch with customer support. The statement helpfully advises customers that they need to actively participate in retrieving their data off Nirvanix servers and, interestingly enough, advises that Nirvanix has an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"https://www.forbes.com/companies/ibm/"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IBM</w:t>
      </w:r>
      <w:r>
        <w:rPr>
          <w:rFonts w:ascii="Georgia" w:hAnsi="Georgia" w:eastAsia="Georgia"/>
          <w:color w:val="#000000"/>
          <w:sz w:val="27"/>
        </w:rPr>
        <w:fldChar w:fldCharType="end"/>
      </w:r>
      <w:r>
        <w:rPr>
          <w:rFonts w:ascii="Georgia" w:hAnsi="Georgia" w:eastAsia="Georgia"/>
          <w:color w:val="#000000"/>
          <w:sz w:val="27"/>
        </w:rPr>
        <w:t xml:space="preserve"> team ready to help customers. Many would say that this is too little, too late. That said, for Nirvanix customers, many of whom are in sheer panic about the terabytes of data they need to shift, any help is useful at this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wrote a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"http://diversity.net.nz/nirvanix-and-the-need-for-enterprise-due-diligence-oxygenclouds-third-way/2013/09/26/"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post</w:t>
      </w:r>
      <w:r>
        <w:rPr>
          <w:rFonts w:ascii="Georgia" w:hAnsi="Georgia" w:eastAsia="Georgia"/>
          <w:color w:val="#000000"/>
          <w:sz w:val="27"/>
        </w:rPr>
        <w:fldChar w:fldCharType="end"/>
      </w:r>
      <w:r>
        <w:rPr>
          <w:rFonts w:ascii="Georgia" w:hAnsi="Georgia" w:eastAsia="Georgia"/>
          <w:color w:val="#000000"/>
          <w:sz w:val="27"/>
        </w:rPr>
        <w:t xml:space="preserve"> last week setting out a couple of guidelines for organizations to avoid getting into trouble when outsourcing IT. While arguably the advice wouldn't have helped in this particular case, it's well worth revisiting and reiterative what it takes to be safe and secure when outsourcing IT to the cloud: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Do Your Homework!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move to the cloud is an awesome thing – more flexibility, more focus, the chance to abstract non-core operations out to third parties – all the benefits we’ve been talking about for years. But with those very real benefits come some risks. Not risks that mean we shouldn’t use cloud at all, but risks that mean that the due diligence process is more robust than ever before. Things enterprises need to think about during DD include: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Who is this vendor? Are they well funded and secure Will their business exist tomorrow and into the future? How much downstream damage would there be if they vanished into the ether?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What are their SLAs? Is there an escrow agreement which covers the data in the event that they cease operations? Is there an agreed export model in the event that you want out? Is there an agreement in terms of notice periods?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Do they have pre-existing arrangements with other parties that could help in the event that they go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r>
        <w:rPr>
          <w:rFonts w:ascii="Georgia" w:hAnsi="Georgia" w:eastAsia="Georgia"/>
          <w:color w:val="#000000"/>
          <w:sz w:val="27"/>
        </w:rPr>
        <w:t xml:space="preserve">Now in the case of Nirvanix, it’s possible that DD wouldn't have uncovered issues – they were well funded, a “mature” player and had enterprise SLAs in place. </w:t>
      </w:r>
      <w:r>
        <w:rPr>
          <w:rFonts w:ascii="Georgia" w:hAnsi="Georgia" w:eastAsia="Georgia"/>
          <w:b w:val="on"/>
          <w:color w:val="#FF0000"/>
          <w:sz w:val="27"/>
        </w:rPr>
        <w:t xml:space="preserve">But maybe their customers, given hindsight, would have been wise to negotiate hard for data escrow provisions or some other protections</w:t>
      </w:r>
      <w:r>
        <w:rPr>
          <w:rFonts w:ascii="Georgia" w:hAnsi="Georgia" w:eastAsia="Georgia"/>
          <w:color w:val="#333333"/>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Think Hybrid!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love the cloud – it has changed the world for the better and delivers massive opportunities for organizations. But with it comes some risks – we’re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Fundamentally, customers need to stop and think about what happens to their data when they only have one storage provider and that storage provider has a major outage, or worse, goes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Kay Takeaways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 Luckily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i w:val="on"/>
          <w:color w:val="#000000"/>
          <w:sz w:val="27"/>
        </w:rPr>
        <w:t xml:space="preserve">Ben Kepes is a technology evangelist, an investor, a commentator and a business adviser. Ben covers the convergence of technology, mobile, ubiquity and agility, all enabled by the Cloud. His areas of interest extend to enterprise software, software integration, financial/accounting software, platforms and infrastructure as well as articulating technology simply for everyday users. Read more about Ben </w:t>
      </w:r>
      <w:r>
        <w:rPr>
          <w:rFonts w:ascii="Georgia" w:hAnsi="Georgia" w:eastAsia="Georgia"/>
          <w:i w:val="on"/>
          <w:color w:val="#000000"/>
          <w:sz w:val="27"/>
          <w:u w:val="single"/>
        </w:rPr>
        <w:fldChar w:fldCharType="begin"/>
      </w:r>
      <w:r>
        <w:rPr>
          <w:rFonts w:ascii="Georgia" w:hAnsi="Georgia" w:eastAsia="Georgia"/>
          <w:i w:val="on"/>
          <w:color w:val="#000000"/>
          <w:sz w:val="27"/>
          <w:u w:val="single"/>
        </w:rPr>
        <w:instrText xml:space="preserve"> HYPERLINK "http://www.diversity.net.nz/who-we-are-2/" </w:instrText>
      </w:r>
      <w:r>
        <w:rPr>
          <w:rFonts w:ascii="Georgia" w:hAnsi="Georgia" w:eastAsia="Georgia"/>
          <w:i w:val="on"/>
          <w:color w:val="#000000"/>
          <w:sz w:val="27"/>
          <w:u w:val="single"/>
        </w:rPr>
        <w:fldChar w:fldCharType="separate"/>
      </w:r>
      <w:r>
        <w:rPr>
          <w:rFonts w:ascii="Georgia" w:hAnsi="Georgia" w:eastAsia="Georgia"/>
          <w:i w:val="on"/>
          <w:color w:val="#000000"/>
          <w:sz w:val="27"/>
          <w:u w:val="single"/>
        </w:rPr>
        <w:t xml:space="preserve">here</w:t>
      </w:r>
      <w:r>
        <w:rPr>
          <w:rFonts w:ascii="Georgia" w:hAnsi="Georgia" w:eastAsia="Georgia"/>
          <w:i w:val="on"/>
          <w:color w:val="#000000"/>
          <w:sz w:val="27"/>
        </w:rPr>
        <w:fldChar w:fldCharType="end"/>
      </w:r>
      <w:r>
        <w:rPr>
          <w:rFonts w:ascii="Georgia" w:hAnsi="Georgia" w:eastAsia="Georgia"/>
          <w:i w:val="on"/>
          <w:color w:val="#000000"/>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line="750" w:lineRule="atLeast"/>
        <w:rPr>
          <w:b w:val="off"/>
          <w:color w:val="#111111"/>
          <w:sz w:val="62"/>
        </w:rPr>
      </w:pPr>
      <w:r>
        <w:rPr>
          <w:b w:val="off"/>
          <w:color w:val="#111111"/>
          <w:sz w:val="62"/>
        </w:rPr>
        <w:t xml:space="preserve">Reaction to Nirvanix Shutdown Reiterates Importance of Backup</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240"/>
        <w:rPr>
          <w:color w:val="#595959"/>
          <w:sz w:val="17"/>
        </w:rPr>
      </w:pPr>
      <w:r>
        <w:rPr>
          <w:color w:val="#444444"/>
          <w:sz w:val="17"/>
        </w:rPr>
        <w:t xml:space="preserve">September 21,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rPr>
        <w:fldChar w:fldCharType="begin"/>
      </w:r>
      <w:r>
        <w:rPr>
          <w:rFonts w:ascii="Verdana" w:hAnsi="Verdana" w:eastAsia="Verdana"/>
          <w:color w:val="#0785C4"/>
          <w:sz w:val="23"/>
        </w:rPr>
        <w:instrText xml:space="preserve"> HYPERLINK "https://www.eweek.com/storage/reaction-to-nirvanix-shutdown-reiterates-importance-of-backup/https://www.eweek.com/storage/nirvanix-going-under-gives-customers-two-weeks-notice" </w:instrText>
      </w:r>
      <w:r>
        <w:rPr>
          <w:rFonts w:ascii="Verdana" w:hAnsi="Verdana" w:eastAsia="Verdana"/>
          <w:color w:val="#0785C4"/>
          <w:sz w:val="23"/>
        </w:rPr>
        <w:fldChar w:fldCharType="separate"/>
      </w:r>
      <w:r>
        <w:rPr>
          <w:rFonts w:ascii="Verdana" w:hAnsi="Verdana" w:eastAsia="Verdana"/>
          <w:color w:val="#0785C4"/>
          <w:sz w:val="23"/>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Liran Eshel, CEO of CTERA: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Andres Rodriguez, CEO of Nasuni:</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750" w:lineRule="atLeast"/>
        <w:rPr>
          <w:rFonts w:ascii="Arial" w:hAnsi="Arial" w:eastAsia="Arial"/>
          <w:color w:val="#111111"/>
          <w:sz w:val="62"/>
        </w:rPr>
      </w:pPr>
      <w:r>
        <w:rPr>
          <w:rFonts w:ascii="Arial" w:hAnsi="Arial" w:eastAsia="Arial"/>
          <w:color w:val="#111111"/>
          <w:sz w:val="62"/>
        </w:rPr>
        <w:t xml:space="preserve">Reaction to Nirvanix Shutdown Reiterates Importance of Backup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595959"/>
          <w:sz w:val="17"/>
        </w:rPr>
      </w:pPr>
      <w:r>
        <w:rPr>
          <w:rFonts w:ascii="Arial" w:hAnsi="Arial" w:eastAsia="Arial"/>
          <w:color w:val="#444444"/>
          <w:sz w:val="17"/>
        </w:rPr>
        <w:t xml:space="preserve">By </w:t>
      </w:r>
      <w:r>
        <w:rPr>
          <w:rFonts w:ascii="Arial" w:hAnsi="Arial" w:eastAsia="Arial"/>
          <w:b w:val="on"/>
          <w:color w:val="#000000"/>
          <w:sz w:val="17"/>
          <w:u w:val="single"/>
        </w:rPr>
        <w:fldChar w:fldCharType="begin"/>
      </w:r>
      <w:r>
        <w:rPr>
          <w:rFonts w:ascii="Arial" w:hAnsi="Arial" w:eastAsia="Arial"/>
          <w:b w:val="on"/>
          <w:color w:val="#000000"/>
          <w:sz w:val="17"/>
          <w:u w:val="single"/>
        </w:rPr>
        <w:instrText xml:space="preserve"> HYPERLINK "https://www.eweek.com/author/cpreimesberger/" </w:instrText>
      </w:r>
      <w:r>
        <w:rPr>
          <w:rFonts w:ascii="Arial" w:hAnsi="Arial" w:eastAsia="Arial"/>
          <w:b w:val="on"/>
          <w:color w:val="#000000"/>
          <w:sz w:val="17"/>
          <w:u w:val="single"/>
        </w:rPr>
        <w:fldChar w:fldCharType="separate"/>
      </w:r>
      <w:r>
        <w:rPr>
          <w:rFonts w:ascii="Arial" w:hAnsi="Arial" w:eastAsia="Arial"/>
          <w:b w:val="on"/>
          <w:color w:val="#000000"/>
          <w:sz w:val="17"/>
          <w:u w:val="single"/>
        </w:rPr>
        <w:t xml:space="preserve">Chris Preimesberger</w:t>
      </w:r>
      <w:r>
        <w:rPr>
          <w:rFonts w:ascii="Arial" w:hAnsi="Arial" w:eastAsia="Arial"/>
          <w:color w:val="#444444"/>
          <w:sz w:val="17"/>
        </w:rPr>
        <w:fldChar w:fldCharType="end"/>
      </w:r>
      <w:r>
        <w:rPr>
          <w:rFonts w:ascii="Arial" w:hAnsi="Arial" w:eastAsia="Arial"/>
          <w:color w:val="#444444"/>
          <w:sz w:val="17"/>
        </w:rPr>
        <w:t xml:space="preserve">  - September 21, 2013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600" w:lineRule="atLeast"/>
        <w:rPr>
          <w:rFonts w:ascii="Verdana" w:hAnsi="Verdana" w:eastAsia="Verdana"/>
          <w:color w:val="#222222"/>
          <w:sz w:val="23"/>
        </w:rPr>
      </w:pPr>
      <w:r>
        <w:rPr>
          <w:rFonts w:ascii="Verdana" w:hAnsi="Verdana" w:eastAsia="Verdana"/>
          <w:color w:val="#0084C4"/>
          <w:sz w:val="23"/>
        </w:rPr>
        <w:fldChar w:fldCharType="begin"/>
      </w:r>
      <w:r>
        <w:rPr>
          <w:rFonts w:ascii="Verdana" w:hAnsi="Verdana" w:eastAsia="Verdana"/>
          <w:color w:val="#0084C4"/>
          <w:sz w:val="23"/>
        </w:rPr>
        <w:instrText xml:space="preserve"> HYPERLINK "https://www.eweek.com/wp-content/uploads/2020/10/Nirvanix-cloud-storage190x128_3.jpg" </w:instrText>
      </w:r>
      <w:r>
        <w:rPr>
          <w:rFonts w:ascii="Verdana" w:hAnsi="Verdana" w:eastAsia="Verdana"/>
          <w:color w:val="#0084C4"/>
          <w:sz w:val="23"/>
        </w:rPr>
        <w:fldChar w:fldCharType="separate"/>
      </w:r>
      <w:r>
        <w:drawing>
          <wp:inline distT="0" distB="0" distL="0" distR="0">
            <wp:extent cx="1828800" cy="12319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28800" cy="1231900"/>
                    </a:xfrm>
                    <a:prstGeom prst="rect">
                      <a:avLst/>
                    </a:prstGeom>
                  </pic:spPr>
                </pic:pic>
              </a:graphicData>
            </a:graphic>
          </wp:inline>
        </w:drawing>
      </w:r>
      <w:r>
        <w:rPr>
          <w:rFonts w:ascii="Verdana" w:hAnsi="Verdana" w:eastAsia="Verdana"/>
          <w:color w:val="#222222"/>
          <w:sz w:val="2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u w:val="single"/>
        </w:rPr>
        <w:fldChar w:fldCharType="begin"/>
      </w:r>
      <w:r>
        <w:rPr>
          <w:rFonts w:ascii="Verdana" w:hAnsi="Verdana" w:eastAsia="Verdana"/>
          <w:color w:val="#0785C4"/>
          <w:sz w:val="23"/>
          <w:u w:val="single"/>
        </w:rPr>
        <w:instrText xml:space="preserve"> HYPERLINK "https://www.eweek.com/storage/nirvanix-going-under-gives-customers-two-weeks-notice" </w:instrText>
      </w:r>
      <w:r>
        <w:rPr>
          <w:rFonts w:ascii="Verdana" w:hAnsi="Verdana" w:eastAsia="Verdana"/>
          <w:color w:val="#0785C4"/>
          <w:sz w:val="23"/>
          <w:u w:val="single"/>
        </w:rPr>
        <w:fldChar w:fldCharType="separate"/>
      </w:r>
      <w:r>
        <w:rPr>
          <w:rFonts w:ascii="Verdana" w:hAnsi="Verdana" w:eastAsia="Verdana"/>
          <w:color w:val="#0785C4"/>
          <w:sz w:val="23"/>
          <w:u w:val="single"/>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Liran Eshel, CEO of CTERA: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Andres Rodriguez, CEO of Nasuni: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eastAsia="Verdan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Subtitle Char">
    <w:name w:val="Subtitle Char"/>
    <w:qFormat/>
    <w:rPr>
      <w:color w:val="#5A5A5A"/>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