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5D836A6D">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211F34E6"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w:t>
        </w:r>
        <w:r w:rsidRPr="00662029">
          <w:rPr>
            <w:rStyle w:val="Hyperlink"/>
            <w:rFonts w:asciiTheme="majorBidi" w:hAnsiTheme="majorBidi" w:cstheme="majorBidi"/>
            <w:b/>
            <w:bCs/>
            <w:sz w:val="36"/>
            <w:szCs w:val="36"/>
          </w:rPr>
          <w:t>d</w:t>
        </w:r>
        <w:r w:rsidRPr="00662029">
          <w:rPr>
            <w:rStyle w:val="Hyperlink"/>
            <w:rFonts w:asciiTheme="majorBidi" w:hAnsiTheme="majorBidi" w:cstheme="majorBidi"/>
            <w:b/>
            <w:bCs/>
            <w:sz w:val="36"/>
            <w:szCs w:val="36"/>
          </w:rPr>
          <w:t xml:space="preserve"> Opportunities</w:t>
        </w:r>
      </w:hyperlink>
      <w:r w:rsidRPr="00662029">
        <w:rPr>
          <w:rFonts w:asciiTheme="majorBidi" w:hAnsiTheme="majorBidi" w:cstheme="majorBidi"/>
          <w:b/>
          <w:bCs/>
          <w:sz w:val="36"/>
          <w:szCs w:val="36"/>
        </w:rPr>
        <w:t>}</w:t>
      </w:r>
      <w:r w:rsidR="00612352">
        <w:rPr>
          <w:rFonts w:asciiTheme="majorBidi" w:hAnsiTheme="majorBidi" w:cstheme="majorBidi"/>
          <w:b/>
          <w:bCs/>
          <w:sz w:val="36"/>
          <w:szCs w:val="36"/>
        </w:rPr>
        <w:t xml:space="preserve"> and </w:t>
      </w:r>
      <w:hyperlink r:id="rId10" w:history="1">
        <w:r w:rsidR="00612352" w:rsidRPr="00A57F8B">
          <w:rPr>
            <w:rStyle w:val="Hyperlink"/>
            <w:rFonts w:asciiTheme="majorBidi" w:hAnsiTheme="majorBidi" w:cstheme="majorBidi"/>
            <w:b/>
            <w:bCs/>
            <w:sz w:val="36"/>
            <w:szCs w:val="36"/>
          </w:rPr>
          <w:t>PDF</w:t>
        </w:r>
      </w:hyperlink>
    </w:p>
    <w:p w14:paraId="2D396E86" w14:textId="77777777" w:rsidR="00160800" w:rsidRDefault="00160800" w:rsidP="00160800">
      <w:pPr>
        <w:spacing w:after="0"/>
        <w:jc w:val="center"/>
        <w:rPr>
          <w:rFonts w:asciiTheme="majorBidi" w:hAnsiTheme="majorBidi" w:cstheme="majorBidi"/>
          <w:b/>
          <w:bCs/>
          <w:sz w:val="36"/>
          <w:szCs w:val="36"/>
        </w:rPr>
      </w:pPr>
    </w:p>
    <w:bookmarkStart w:id="2" w:name="_Hlk170382983"/>
    <w:p w14:paraId="09D40121" w14:textId="73B47115" w:rsidR="00DB086F" w:rsidRPr="0058165B" w:rsidRDefault="00000000" w:rsidP="00DB086F">
      <w:pPr>
        <w:jc w:val="center"/>
        <w:rPr>
          <w:rFonts w:asciiTheme="majorBidi" w:hAnsiTheme="majorBidi" w:cstheme="majorBidi"/>
          <w:b/>
          <w:bCs/>
          <w:sz w:val="36"/>
          <w:szCs w:val="36"/>
        </w:rPr>
      </w:pPr>
      <w:r w:rsidRPr="0058165B">
        <w:rPr>
          <w:rFonts w:asciiTheme="majorBidi" w:hAnsiTheme="majorBidi" w:cstheme="majorBidi"/>
          <w:b/>
          <w:bCs/>
          <w:sz w:val="36"/>
          <w:szCs w:val="36"/>
        </w:rPr>
        <w:fldChar w:fldCharType="begin"/>
      </w:r>
      <w:r w:rsidRPr="0058165B">
        <w:rPr>
          <w:rFonts w:asciiTheme="majorBidi" w:hAnsiTheme="majorBidi" w:cstheme="majorBidi"/>
          <w:b/>
          <w:bCs/>
          <w:sz w:val="36"/>
          <w:szCs w:val="36"/>
        </w:rPr>
        <w:instrText>HYPERLINK "https://drive.google.com/drive/folders/1f9O4GCGy4kJKpPCszfpzd2EGpd7OAh-t?usp=drive_link"</w:instrText>
      </w:r>
      <w:r w:rsidRPr="0058165B">
        <w:rPr>
          <w:rFonts w:asciiTheme="majorBidi" w:hAnsiTheme="majorBidi" w:cstheme="majorBidi"/>
          <w:b/>
          <w:bCs/>
          <w:sz w:val="36"/>
          <w:szCs w:val="36"/>
        </w:rPr>
      </w:r>
      <w:r w:rsidRPr="0058165B">
        <w:rPr>
          <w:rFonts w:asciiTheme="majorBidi" w:hAnsiTheme="majorBidi" w:cstheme="majorBidi"/>
          <w:b/>
          <w:bCs/>
          <w:sz w:val="36"/>
          <w:szCs w:val="36"/>
        </w:rPr>
        <w:fldChar w:fldCharType="separate"/>
      </w:r>
      <w:r w:rsidR="00DF39A5" w:rsidRPr="0058165B">
        <w:rPr>
          <w:rStyle w:val="Hyperlink"/>
          <w:rFonts w:asciiTheme="majorBidi" w:hAnsiTheme="majorBidi" w:cstheme="majorBidi"/>
          <w:b/>
          <w:bCs/>
          <w:sz w:val="36"/>
          <w:szCs w:val="36"/>
        </w:rPr>
        <w:t>Research LAB</w:t>
      </w:r>
      <w:r w:rsidRPr="0058165B">
        <w:rPr>
          <w:rStyle w:val="Hyperlink"/>
          <w:rFonts w:asciiTheme="majorBidi" w:hAnsiTheme="majorBidi" w:cstheme="majorBidi"/>
          <w:b/>
          <w:bCs/>
          <w:sz w:val="36"/>
          <w:szCs w:val="36"/>
        </w:rPr>
        <w:fldChar w:fldCharType="end"/>
      </w:r>
      <w:r w:rsidR="00DB086F" w:rsidRPr="0058165B">
        <w:rPr>
          <w:rFonts w:asciiTheme="majorBidi" w:hAnsiTheme="majorBidi" w:cstheme="majorBidi"/>
          <w:b/>
          <w:bCs/>
          <w:sz w:val="36"/>
          <w:szCs w:val="36"/>
        </w:rPr>
        <w:t>:</w:t>
      </w:r>
      <w:r w:rsidR="006A45B2" w:rsidRPr="0058165B">
        <w:rPr>
          <w:rFonts w:asciiTheme="majorBidi" w:hAnsiTheme="majorBidi" w:cstheme="majorBidi"/>
          <w:b/>
          <w:bCs/>
          <w:sz w:val="36"/>
          <w:szCs w:val="36"/>
        </w:rPr>
        <w:t xml:space="preserve"> </w:t>
      </w:r>
      <w:r w:rsidR="00DB086F" w:rsidRPr="0058165B">
        <w:rPr>
          <w:rFonts w:asciiTheme="majorBidi" w:hAnsiTheme="majorBidi" w:cstheme="majorBidi"/>
          <w:b/>
          <w:bCs/>
          <w:sz w:val="36"/>
          <w:szCs w:val="36"/>
        </w:rPr>
        <w:t xml:space="preserve"> </w:t>
      </w:r>
      <w:hyperlink r:id="rId11" w:history="1">
        <w:r w:rsidR="00DB086F" w:rsidRPr="0058165B">
          <w:rPr>
            <w:rStyle w:val="Hyperlink"/>
            <w:rFonts w:asciiTheme="majorBidi" w:hAnsiTheme="majorBidi" w:cstheme="majorBidi"/>
            <w:b/>
            <w:bCs/>
            <w:sz w:val="36"/>
            <w:szCs w:val="36"/>
          </w:rPr>
          <w:t>T-</w:t>
        </w:r>
        <w:r w:rsidR="00DB086F" w:rsidRPr="0058165B">
          <w:rPr>
            <w:rStyle w:val="Hyperlink"/>
            <w:rFonts w:asciiTheme="majorBidi" w:hAnsiTheme="majorBidi" w:cstheme="majorBidi"/>
            <w:b/>
            <w:bCs/>
            <w:sz w:val="36"/>
            <w:szCs w:val="36"/>
          </w:rPr>
          <w:t>T</w:t>
        </w:r>
        <w:r w:rsidR="00DB086F" w:rsidRPr="0058165B">
          <w:rPr>
            <w:rStyle w:val="Hyperlink"/>
            <w:rFonts w:asciiTheme="majorBidi" w:hAnsiTheme="majorBidi" w:cstheme="majorBidi"/>
            <w:b/>
            <w:bCs/>
            <w:sz w:val="36"/>
            <w:szCs w:val="36"/>
          </w:rPr>
          <w:t>EST</w:t>
        </w:r>
      </w:hyperlink>
      <w:r w:rsidR="00DB086F" w:rsidRPr="0058165B">
        <w:rPr>
          <w:rFonts w:asciiTheme="majorBidi" w:hAnsiTheme="majorBidi" w:cstheme="majorBidi"/>
          <w:b/>
          <w:bCs/>
          <w:sz w:val="36"/>
          <w:szCs w:val="36"/>
        </w:rPr>
        <w:t xml:space="preserve"> and</w:t>
      </w:r>
      <w:r w:rsidR="00DB086F" w:rsidRPr="0058165B">
        <w:rPr>
          <w:rFonts w:asciiTheme="majorBidi" w:hAnsiTheme="majorBidi" w:cstheme="majorBidi"/>
          <w:b/>
          <w:bCs/>
          <w:sz w:val="36"/>
          <w:szCs w:val="36"/>
        </w:rPr>
        <w:t xml:space="preserve"> </w:t>
      </w:r>
      <w:hyperlink r:id="rId12" w:history="1">
        <w:r w:rsidR="00DB086F" w:rsidRPr="0058165B">
          <w:rPr>
            <w:rStyle w:val="Hyperlink"/>
            <w:rFonts w:asciiTheme="majorBidi" w:hAnsiTheme="majorBidi" w:cstheme="majorBidi"/>
            <w:b/>
            <w:bCs/>
            <w:sz w:val="36"/>
            <w:szCs w:val="36"/>
          </w:rPr>
          <w:t>ANOV</w:t>
        </w:r>
        <w:r w:rsidR="00DB086F" w:rsidRPr="0058165B">
          <w:rPr>
            <w:rStyle w:val="Hyperlink"/>
            <w:rFonts w:asciiTheme="majorBidi" w:hAnsiTheme="majorBidi" w:cstheme="majorBidi"/>
            <w:b/>
            <w:bCs/>
            <w:sz w:val="36"/>
            <w:szCs w:val="36"/>
          </w:rPr>
          <w:t>A</w:t>
        </w:r>
      </w:hyperlink>
    </w:p>
    <w:bookmarkEnd w:id="2"/>
    <w:p w14:paraId="26EFD598" w14:textId="253C0E88" w:rsidR="006A45B2" w:rsidRDefault="006A45B2" w:rsidP="006A45B2">
      <w:pPr>
        <w:spacing w:after="0"/>
        <w:jc w:val="center"/>
        <w:rPr>
          <w:rFonts w:asciiTheme="majorBidi" w:hAnsiTheme="majorBidi" w:cstheme="majorBidi"/>
          <w:b/>
          <w:bCs/>
          <w:sz w:val="36"/>
          <w:szCs w:val="36"/>
        </w:rPr>
      </w:pPr>
    </w:p>
    <w:p w14:paraId="4B11B22D" w14:textId="77777777" w:rsidR="006A45B2" w:rsidRDefault="006A45B2" w:rsidP="006A45B2">
      <w:pPr>
        <w:spacing w:after="0"/>
        <w:jc w:val="center"/>
        <w:rPr>
          <w:rFonts w:asciiTheme="majorBidi" w:hAnsiTheme="majorBidi" w:cstheme="majorBidi"/>
          <w:b/>
          <w:bCs/>
          <w:sz w:val="36"/>
          <w:szCs w:val="36"/>
        </w:rPr>
      </w:pPr>
    </w:p>
    <w:p w14:paraId="62CA13B8" w14:textId="59E1EB6E" w:rsidR="00EB60EE" w:rsidRPr="00662029" w:rsidRDefault="006A45B2" w:rsidP="006A45B2">
      <w:pPr>
        <w:spacing w:after="0"/>
        <w:jc w:val="center"/>
        <w:rPr>
          <w:rFonts w:asciiTheme="majorBidi" w:hAnsiTheme="majorBidi" w:cstheme="majorBidi"/>
          <w:b/>
          <w:bCs/>
          <w:sz w:val="36"/>
          <w:szCs w:val="36"/>
        </w:rPr>
      </w:pPr>
      <w:r>
        <w:rPr>
          <w:rFonts w:asciiTheme="majorBidi" w:hAnsiTheme="majorBidi" w:cstheme="majorBidi"/>
          <w:b/>
          <w:bCs/>
          <w:sz w:val="36"/>
          <w:szCs w:val="36"/>
        </w:rPr>
        <w:t xml:space="preserve"> </w:t>
      </w:r>
      <w:r w:rsidR="00EB60EE"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B74BFF7" w14:textId="68D4D18A" w:rsidR="008C5534" w:rsidRDefault="00801043" w:rsidP="008C5534">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4DA10EF1" w14:textId="77777777" w:rsidR="008C5534" w:rsidRDefault="008C5534">
      <w:pPr>
        <w:rPr>
          <w:rFonts w:asciiTheme="majorBidi" w:hAnsiTheme="majorBidi" w:cstheme="majorBidi"/>
        </w:rPr>
      </w:pPr>
      <w:r>
        <w:rPr>
          <w:rFonts w:asciiTheme="majorBidi" w:hAnsiTheme="majorBidi" w:cstheme="majorBidi"/>
        </w:rPr>
        <w:br w:type="page"/>
      </w:r>
    </w:p>
    <w:p w14:paraId="0CC40DBA" w14:textId="77777777" w:rsidR="008C5534" w:rsidRDefault="008C5534">
      <w:pPr>
        <w:rPr>
          <w:rFonts w:asciiTheme="majorBidi" w:hAnsiTheme="majorBidi" w:cstheme="majorBidi"/>
        </w:rPr>
      </w:pPr>
    </w:p>
    <w:p w14:paraId="78725402" w14:textId="77777777" w:rsidR="008C5534" w:rsidRDefault="008C5534">
      <w:pPr>
        <w:rPr>
          <w:rFonts w:asciiTheme="majorBidi" w:hAnsiTheme="majorBidi" w:cstheme="majorBidi"/>
        </w:rPr>
      </w:pPr>
    </w:p>
    <w:p w14:paraId="4B2423E8" w14:textId="77777777" w:rsidR="008C5534" w:rsidRDefault="008C5534">
      <w:pPr>
        <w:rPr>
          <w:rFonts w:asciiTheme="majorBidi" w:hAnsiTheme="majorBidi" w:cstheme="majorBidi"/>
        </w:rPr>
      </w:pPr>
    </w:p>
    <w:p w14:paraId="0AAB3387" w14:textId="77777777" w:rsidR="008C5534" w:rsidRDefault="008C5534">
      <w:pPr>
        <w:rPr>
          <w:rFonts w:asciiTheme="majorBidi" w:hAnsiTheme="majorBidi" w:cstheme="majorBidi"/>
        </w:rPr>
      </w:pPr>
    </w:p>
    <w:p w14:paraId="2A7D6C80" w14:textId="77777777" w:rsidR="008C5534" w:rsidRDefault="008C5534">
      <w:pPr>
        <w:rPr>
          <w:rFonts w:asciiTheme="majorBidi" w:hAnsiTheme="majorBidi" w:cstheme="majorBidi"/>
        </w:rPr>
      </w:pPr>
    </w:p>
    <w:p w14:paraId="3D8A8D27" w14:textId="77777777" w:rsidR="008C5534" w:rsidRDefault="008C5534">
      <w:pPr>
        <w:rPr>
          <w:rFonts w:asciiTheme="majorBidi" w:hAnsiTheme="majorBidi" w:cstheme="majorBidi"/>
        </w:rPr>
      </w:pPr>
    </w:p>
    <w:p w14:paraId="05032A77" w14:textId="77777777" w:rsidR="008C5534" w:rsidRDefault="008C5534">
      <w:pPr>
        <w:rPr>
          <w:rFonts w:asciiTheme="majorBidi" w:hAnsiTheme="majorBidi" w:cstheme="majorBidi"/>
        </w:rPr>
      </w:pPr>
    </w:p>
    <w:p w14:paraId="6580C47C" w14:textId="77777777" w:rsidR="008C5534" w:rsidRPr="008C5534" w:rsidRDefault="008C5534" w:rsidP="008C5534">
      <w:pPr>
        <w:pStyle w:val="IntenseQuote"/>
        <w:rPr>
          <w:rStyle w:val="Strong"/>
          <w:sz w:val="24"/>
          <w:szCs w:val="24"/>
        </w:rPr>
      </w:pPr>
      <w:r w:rsidRPr="008C5534">
        <w:rPr>
          <w:rStyle w:val="Strong"/>
          <w:sz w:val="24"/>
          <w:szCs w:val="24"/>
        </w:rPr>
        <w:t>" Those who can see beyond the shadows and lies of their culture will never be understood, let alone believed, by the masses."</w:t>
      </w:r>
    </w:p>
    <w:p w14:paraId="17FEBE2A" w14:textId="77777777" w:rsidR="008C5534" w:rsidRPr="008C5534" w:rsidRDefault="008C5534" w:rsidP="008C5534">
      <w:pPr>
        <w:pStyle w:val="IntenseQuote"/>
        <w:rPr>
          <w:rStyle w:val="Strong"/>
          <w:sz w:val="24"/>
          <w:szCs w:val="24"/>
        </w:rPr>
      </w:pPr>
      <w:r w:rsidRPr="008C5534">
        <w:rPr>
          <w:rStyle w:val="Strong"/>
          <w:sz w:val="24"/>
          <w:szCs w:val="24"/>
        </w:rPr>
        <w:t>Plato</w:t>
      </w:r>
    </w:p>
    <w:p w14:paraId="22D20110" w14:textId="77777777" w:rsidR="008C5534" w:rsidRPr="008C5534" w:rsidRDefault="008C5534" w:rsidP="008C5534">
      <w:pPr>
        <w:rPr>
          <w:sz w:val="24"/>
          <w:szCs w:val="24"/>
        </w:rPr>
      </w:pPr>
    </w:p>
    <w:p w14:paraId="6D7F984E" w14:textId="77777777" w:rsidR="008C5534" w:rsidRPr="008C5534" w:rsidRDefault="008C5534" w:rsidP="008C5534">
      <w:pPr>
        <w:pStyle w:val="IntenseQuote"/>
        <w:rPr>
          <w:rStyle w:val="Strong"/>
          <w:sz w:val="24"/>
          <w:szCs w:val="24"/>
        </w:rPr>
      </w:pPr>
      <w:r w:rsidRPr="008C5534">
        <w:rPr>
          <w:rStyle w:val="Strong"/>
          <w:sz w:val="24"/>
          <w:szCs w:val="24"/>
        </w:rPr>
        <w:t>” Fasten the throne [first], then engrave [it].”</w:t>
      </w:r>
    </w:p>
    <w:p w14:paraId="5302CBD7" w14:textId="77777777" w:rsidR="008C5534" w:rsidRPr="008C5534" w:rsidRDefault="008C5534" w:rsidP="008C5534">
      <w:pPr>
        <w:rPr>
          <w:sz w:val="24"/>
          <w:szCs w:val="24"/>
        </w:rPr>
      </w:pPr>
    </w:p>
    <w:p w14:paraId="2D52D957" w14:textId="77777777" w:rsidR="008C5534" w:rsidRPr="008C5534" w:rsidRDefault="008C5534" w:rsidP="008C5534">
      <w:pPr>
        <w:rPr>
          <w:sz w:val="24"/>
          <w:szCs w:val="24"/>
        </w:rPr>
      </w:pPr>
      <w:r w:rsidRPr="008C5534">
        <w:rPr>
          <w:sz w:val="24"/>
          <w:szCs w:val="24"/>
        </w:rPr>
        <w:t xml:space="preserve"> </w:t>
      </w:r>
    </w:p>
    <w:p w14:paraId="5E68971A" w14:textId="77777777" w:rsidR="008C5534" w:rsidRPr="008C5534" w:rsidRDefault="008C5534" w:rsidP="008C5534">
      <w:pPr>
        <w:pStyle w:val="IntenseQuote"/>
        <w:rPr>
          <w:rStyle w:val="Strong"/>
          <w:sz w:val="24"/>
          <w:szCs w:val="24"/>
        </w:rPr>
      </w:pPr>
      <w:r w:rsidRPr="008C5534">
        <w:rPr>
          <w:rStyle w:val="Strong"/>
          <w:sz w:val="24"/>
          <w:szCs w:val="24"/>
        </w:rPr>
        <w:t>" In mathematics, you don't understand things. You just get used to them."</w:t>
      </w:r>
    </w:p>
    <w:p w14:paraId="6D7998A2" w14:textId="77777777" w:rsidR="008C5534" w:rsidRDefault="008C5534" w:rsidP="008C5534">
      <w:pPr>
        <w:pStyle w:val="IntenseQuote"/>
        <w:rPr>
          <w:rStyle w:val="Strong"/>
          <w:sz w:val="24"/>
          <w:szCs w:val="24"/>
        </w:rPr>
      </w:pPr>
      <w:r w:rsidRPr="008C5534">
        <w:rPr>
          <w:rStyle w:val="Strong"/>
          <w:sz w:val="24"/>
          <w:szCs w:val="24"/>
        </w:rPr>
        <w:t xml:space="preserve">John von Neumann </w:t>
      </w:r>
    </w:p>
    <w:p w14:paraId="4E1E9563" w14:textId="77777777" w:rsidR="006A6B2F" w:rsidRPr="006A6B2F" w:rsidRDefault="006A6B2F" w:rsidP="006A6B2F"/>
    <w:p w14:paraId="4777780B" w14:textId="0755E371" w:rsidR="008C5534" w:rsidRDefault="008C5534">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3" w:name="introduction"/>
      <w:r w:rsidRPr="00662029">
        <w:rPr>
          <w:rFonts w:asciiTheme="majorBidi" w:hAnsiTheme="majorBidi"/>
        </w:rPr>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4" w:name="problem-statement"/>
      <w:bookmarkEnd w:id="3"/>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5" w:name="review-of-the-related-work"/>
      <w:bookmarkEnd w:id="4"/>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6" w:name="what-is-digital-transformation"/>
      <w:r w:rsidRPr="00662029">
        <w:rPr>
          <w:rFonts w:asciiTheme="majorBidi" w:hAnsiTheme="majorBidi" w:cstheme="majorBidi"/>
          <w:b/>
          <w:bCs/>
          <w:sz w:val="24"/>
          <w:szCs w:val="24"/>
        </w:rPr>
        <w:t>The cultural</w:t>
      </w:r>
      <w:bookmarkStart w:id="7" w:name="_Hlk169659130"/>
      <w:r w:rsidRPr="00662029">
        <w:rPr>
          <w:rFonts w:asciiTheme="majorBidi" w:hAnsiTheme="majorBidi" w:cstheme="majorBidi"/>
          <w:b/>
          <w:bCs/>
          <w:sz w:val="24"/>
          <w:szCs w:val="24"/>
        </w:rPr>
        <w:t xml:space="preserve"> industry</w:t>
      </w:r>
      <w:bookmarkEnd w:id="7"/>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8"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8"/>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3D96E431"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BA5AE8">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3"/>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9"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10"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9"/>
      <w:bookmarkEnd w:id="10"/>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1"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2"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3" w:name="opportunities"/>
      <w:bookmarkEnd w:id="12"/>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3"/>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4" w:name="Most_critical_hardware_startup_failure_f"/>
      <w:bookmarkEnd w:id="14"/>
    </w:p>
    <w:p w14:paraId="0BEC1AE4" w14:textId="77777777" w:rsidR="005A544C" w:rsidRPr="00662029" w:rsidRDefault="005A544C" w:rsidP="00B47890">
      <w:pPr>
        <w:pStyle w:val="Heading2"/>
      </w:pPr>
      <w:bookmarkStart w:id="15" w:name="strategies-for-success"/>
      <w:bookmarkStart w:id="16" w:name="gap-in-literature"/>
      <w:bookmarkEnd w:id="6"/>
      <w:bookmarkEnd w:id="11"/>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7" w:name="significance"/>
      <w:bookmarkStart w:id="18" w:name="abstract"/>
      <w:bookmarkEnd w:id="15"/>
      <w:bookmarkEnd w:id="16"/>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54B0CD59" w:rsidR="00342942" w:rsidRDefault="00342942" w:rsidP="00744489">
      <w:pPr>
        <w:pStyle w:val="Caption"/>
        <w:keepNext/>
        <w:jc w:val="both"/>
      </w:pPr>
      <w:bookmarkStart w:id="19" w:name="_Ref170140662"/>
      <w:r>
        <w:t xml:space="preserve">Figure </w:t>
      </w:r>
      <w:r w:rsidR="0090305A">
        <w:fldChar w:fldCharType="begin"/>
      </w:r>
      <w:r w:rsidR="0090305A">
        <w:instrText xml:space="preserve"> SEQ Figure \* ARABIC </w:instrText>
      </w:r>
      <w:r w:rsidR="0090305A">
        <w:fldChar w:fldCharType="separate"/>
      </w:r>
      <w:r w:rsidR="00BA5AE8">
        <w:rPr>
          <w:noProof/>
        </w:rPr>
        <w:t>2</w:t>
      </w:r>
      <w:r w:rsidR="0090305A">
        <w:fldChar w:fldCharType="end"/>
      </w:r>
      <w:bookmarkEnd w:id="19"/>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3302B40B" w:rsidR="00DB68A8" w:rsidRDefault="00DB68A8" w:rsidP="00DB68A8">
      <w:pPr>
        <w:pStyle w:val="Caption"/>
        <w:keepNext/>
      </w:pPr>
      <w:bookmarkStart w:id="20" w:name="_Ref170141100"/>
      <w:r>
        <w:t xml:space="preserve">Figure </w:t>
      </w:r>
      <w:r w:rsidR="0090305A">
        <w:fldChar w:fldCharType="begin"/>
      </w:r>
      <w:r w:rsidR="0090305A">
        <w:instrText xml:space="preserve"> SEQ Figure \* ARABIC </w:instrText>
      </w:r>
      <w:r w:rsidR="0090305A">
        <w:fldChar w:fldCharType="separate"/>
      </w:r>
      <w:r w:rsidR="00BA5AE8">
        <w:rPr>
          <w:noProof/>
        </w:rPr>
        <w:t>3</w:t>
      </w:r>
      <w:r w:rsidR="0090305A">
        <w:fldChar w:fldCharType="end"/>
      </w:r>
      <w:bookmarkEnd w:id="20"/>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1"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18911C46"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BA5AE8">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01115930"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BA5AE8">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62CF4F7A"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BA5AE8">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53EF5ED7"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BA5AE8">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186E08A4"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BA5AE8">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79921FC6" w:rsidR="0090305A" w:rsidRDefault="0090305A" w:rsidP="0090305A">
      <w:pPr>
        <w:pStyle w:val="Caption"/>
        <w:keepNext/>
      </w:pPr>
      <w:r>
        <w:t xml:space="preserve">Figure </w:t>
      </w:r>
      <w:r>
        <w:fldChar w:fldCharType="begin"/>
      </w:r>
      <w:r>
        <w:instrText xml:space="preserve"> SEQ Figure \* ARABIC </w:instrText>
      </w:r>
      <w:r>
        <w:fldChar w:fldCharType="separate"/>
      </w:r>
      <w:r w:rsidR="00BA5AE8">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12BD971F" w:rsidR="00450800" w:rsidRDefault="00450800" w:rsidP="00450800">
      <w:pPr>
        <w:pStyle w:val="Caption"/>
        <w:keepNext/>
        <w:rPr>
          <w:rFonts w:asciiTheme="majorBidi" w:hAnsiTheme="majorBidi" w:cstheme="majorBidi"/>
          <w:sz w:val="24"/>
          <w:szCs w:val="24"/>
        </w:rPr>
      </w:pPr>
      <w:bookmarkStart w:id="22" w:name="_Ref170142518"/>
      <w:r>
        <w:t xml:space="preserve">Figure </w:t>
      </w:r>
      <w:r w:rsidR="0090305A">
        <w:fldChar w:fldCharType="begin"/>
      </w:r>
      <w:r w:rsidR="0090305A">
        <w:instrText xml:space="preserve"> SEQ Figure \* ARABIC </w:instrText>
      </w:r>
      <w:r w:rsidR="0090305A">
        <w:fldChar w:fldCharType="separate"/>
      </w:r>
      <w:r w:rsidR="00BA5AE8">
        <w:rPr>
          <w:noProof/>
        </w:rPr>
        <w:t>10</w:t>
      </w:r>
      <w:r w:rsidR="0090305A">
        <w:fldChar w:fldCharType="end"/>
      </w:r>
      <w:bookmarkEnd w:id="21"/>
      <w:bookmarkEnd w:id="22"/>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672C2F2D" w:rsidR="00F11B09" w:rsidRDefault="00F11B09" w:rsidP="00F11B09">
      <w:pPr>
        <w:pStyle w:val="Caption"/>
        <w:keepNext/>
      </w:pPr>
      <w:bookmarkStart w:id="23" w:name="_Ref170140679"/>
      <w:r>
        <w:t xml:space="preserve">Figure </w:t>
      </w:r>
      <w:r w:rsidR="0090305A">
        <w:fldChar w:fldCharType="begin"/>
      </w:r>
      <w:r w:rsidR="0090305A">
        <w:instrText xml:space="preserve"> SEQ Figure \* ARABIC </w:instrText>
      </w:r>
      <w:r w:rsidR="0090305A">
        <w:fldChar w:fldCharType="separate"/>
      </w:r>
      <w:r w:rsidR="00BA5AE8">
        <w:rPr>
          <w:noProof/>
        </w:rPr>
        <w:t>11</w:t>
      </w:r>
      <w:r w:rsidR="0090305A">
        <w:fldChar w:fldCharType="end"/>
      </w:r>
      <w:bookmarkEnd w:id="23"/>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62E7BDAD" w:rsidR="0090305A" w:rsidRDefault="0090305A" w:rsidP="0090305A">
      <w:pPr>
        <w:pStyle w:val="Caption"/>
        <w:keepNext/>
      </w:pPr>
      <w:r>
        <w:t xml:space="preserve">Figure </w:t>
      </w:r>
      <w:r>
        <w:fldChar w:fldCharType="begin"/>
      </w:r>
      <w:r>
        <w:instrText xml:space="preserve"> SEQ Figure \* ARABIC </w:instrText>
      </w:r>
      <w:r>
        <w:fldChar w:fldCharType="separate"/>
      </w:r>
      <w:r w:rsidR="00BA5AE8">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4" w:name="outline-of-contribution"/>
      <w:bookmarkEnd w:id="17"/>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5"/>
      <w:bookmarkEnd w:id="18"/>
      <w:bookmarkEnd w:id="24"/>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EC935" w14:textId="77777777" w:rsidR="00A67657" w:rsidRDefault="00A67657" w:rsidP="00360B8A">
      <w:pPr>
        <w:spacing w:after="0" w:line="240" w:lineRule="auto"/>
      </w:pPr>
      <w:r>
        <w:separator/>
      </w:r>
    </w:p>
  </w:endnote>
  <w:endnote w:type="continuationSeparator" w:id="0">
    <w:p w14:paraId="4BC3C38E" w14:textId="77777777" w:rsidR="00A67657" w:rsidRDefault="00A67657"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E03A4" w14:textId="77777777" w:rsidR="00A67657" w:rsidRDefault="00A67657" w:rsidP="00360B8A">
      <w:pPr>
        <w:spacing w:after="0" w:line="240" w:lineRule="auto"/>
      </w:pPr>
      <w:r>
        <w:separator/>
      </w:r>
    </w:p>
  </w:footnote>
  <w:footnote w:type="continuationSeparator" w:id="0">
    <w:p w14:paraId="4F68B7AB" w14:textId="77777777" w:rsidR="00A67657" w:rsidRDefault="00A67657"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0FAAoHPBE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3CF"/>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49AB"/>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0F1B"/>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4A85"/>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8165B"/>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2352"/>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5B2"/>
    <w:rsid w:val="006A4C5F"/>
    <w:rsid w:val="006A54B8"/>
    <w:rsid w:val="006A5E0B"/>
    <w:rsid w:val="006A61F4"/>
    <w:rsid w:val="006A6B2F"/>
    <w:rsid w:val="006B1CC1"/>
    <w:rsid w:val="006B32EC"/>
    <w:rsid w:val="006B3ECD"/>
    <w:rsid w:val="006B5B7F"/>
    <w:rsid w:val="006B648E"/>
    <w:rsid w:val="006C2033"/>
    <w:rsid w:val="006C36C3"/>
    <w:rsid w:val="006C7CD9"/>
    <w:rsid w:val="006D0E3E"/>
    <w:rsid w:val="006D11B8"/>
    <w:rsid w:val="006D140A"/>
    <w:rsid w:val="006D14CF"/>
    <w:rsid w:val="006E0C25"/>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4474"/>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5534"/>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F5209"/>
    <w:rsid w:val="009F54AB"/>
    <w:rsid w:val="009F69A9"/>
    <w:rsid w:val="009F6B38"/>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57F8B"/>
    <w:rsid w:val="00A64A53"/>
    <w:rsid w:val="00A64BB7"/>
    <w:rsid w:val="00A65504"/>
    <w:rsid w:val="00A67657"/>
    <w:rsid w:val="00A74FC6"/>
    <w:rsid w:val="00A75F3E"/>
    <w:rsid w:val="00A840E4"/>
    <w:rsid w:val="00A847BF"/>
    <w:rsid w:val="00A8657F"/>
    <w:rsid w:val="00A93E15"/>
    <w:rsid w:val="00A9444D"/>
    <w:rsid w:val="00A94557"/>
    <w:rsid w:val="00A950E3"/>
    <w:rsid w:val="00A957EF"/>
    <w:rsid w:val="00A95CB0"/>
    <w:rsid w:val="00AA2E91"/>
    <w:rsid w:val="00AA7818"/>
    <w:rsid w:val="00AB0D0B"/>
    <w:rsid w:val="00AB3175"/>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5AE8"/>
    <w:rsid w:val="00BA6ADF"/>
    <w:rsid w:val="00BB6D87"/>
    <w:rsid w:val="00BC4DF9"/>
    <w:rsid w:val="00BC6074"/>
    <w:rsid w:val="00BD1D81"/>
    <w:rsid w:val="00BD292E"/>
    <w:rsid w:val="00BD5376"/>
    <w:rsid w:val="00BD7A84"/>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65CB5"/>
    <w:rsid w:val="00D81894"/>
    <w:rsid w:val="00D82951"/>
    <w:rsid w:val="00D86E0A"/>
    <w:rsid w:val="00D92F70"/>
    <w:rsid w:val="00DA17E4"/>
    <w:rsid w:val="00DA2925"/>
    <w:rsid w:val="00DA42D3"/>
    <w:rsid w:val="00DA5242"/>
    <w:rsid w:val="00DA5714"/>
    <w:rsid w:val="00DB086F"/>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0612"/>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54DE"/>
    <w:rsid w:val="00F4559E"/>
    <w:rsid w:val="00F468B3"/>
    <w:rsid w:val="00F517BE"/>
    <w:rsid w:val="00F53958"/>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olab.research.google.com/drive/1-Q672tb7HZAU_u7HoVtsZ4plsrDS8QU-"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IGnUbP8F3gWTFzap1s-ZEiTuUI_fY98"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HeiderJeffer/PhD-Leeds-Doctoral-College-University-of-Leeds/blob/main/d.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eiderJeffer/PhD-Leeds-Doctoral-College-University-of-Leeds"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17973</Words>
  <Characters>102448</Characters>
  <Application>Microsoft Office Word</Application>
  <DocSecurity>0</DocSecurity>
  <Lines>853</Lines>
  <Paragraphs>240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35</cp:revision>
  <cp:lastPrinted>2024-06-26T09:37:00Z</cp:lastPrinted>
  <dcterms:created xsi:type="dcterms:W3CDTF">2024-06-24T17:59:00Z</dcterms:created>
  <dcterms:modified xsi:type="dcterms:W3CDTF">2024-06-27T10:51:00Z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