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49F7B659">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6DFEE4BC"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2F3231">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299F9715" w:rsidR="00A65504" w:rsidRPr="00CA5E3C" w:rsidRDefault="00FF72A3" w:rsidP="00B055C0">
      <w:pPr>
        <w:pStyle w:val="BodyText"/>
        <w:keepNext/>
        <w:spacing w:after="0"/>
        <w:jc w:val="center"/>
        <w:rPr>
          <w:rFonts w:asciiTheme="majorBidi" w:hAnsiTheme="majorBidi" w:cstheme="majorBidi"/>
        </w:rPr>
      </w:pPr>
      <w:r w:rsidRPr="00FF72A3">
        <w:rPr>
          <w:rFonts w:asciiTheme="majorBidi" w:hAnsiTheme="majorBidi" w:cstheme="majorBidi"/>
          <w:noProof/>
        </w:rPr>
        <w:drawing>
          <wp:inline distT="0" distB="0" distL="0" distR="0" wp14:anchorId="6A73D166" wp14:editId="2B55A053">
            <wp:extent cx="5359675" cy="6763098"/>
            <wp:effectExtent l="0" t="0" r="0" b="0"/>
            <wp:docPr id="502504913"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4913" name="Picture 1" descr="A diagram of a research process&#10;&#10;Description automatically generated"/>
                    <pic:cNvPicPr/>
                  </pic:nvPicPr>
                  <pic:blipFill>
                    <a:blip r:embed="rId9"/>
                    <a:stretch>
                      <a:fillRect/>
                    </a:stretch>
                  </pic:blipFill>
                  <pic:spPr>
                    <a:xfrm>
                      <a:off x="0" y="0"/>
                      <a:ext cx="5359675" cy="6763098"/>
                    </a:xfrm>
                    <a:prstGeom prst="rect">
                      <a:avLst/>
                    </a:prstGeom>
                  </pic:spPr>
                </pic:pic>
              </a:graphicData>
            </a:graphic>
          </wp:inline>
        </w:drawing>
      </w:r>
    </w:p>
    <w:p w14:paraId="6D76B96F" w14:textId="03BC5E74"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2F3231">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10CDBAA0" w14:textId="77777777" w:rsidR="00755628" w:rsidRPr="006D0E3E" w:rsidRDefault="00755628" w:rsidP="00B055C0">
      <w:pPr>
        <w:spacing w:after="0"/>
        <w:jc w:val="both"/>
        <w:rPr>
          <w:rFonts w:asciiTheme="majorBidi" w:hAnsiTheme="majorBidi" w:cstheme="majorBidi"/>
          <w:b/>
          <w:bCs/>
          <w:sz w:val="24"/>
          <w:szCs w:val="24"/>
        </w:rPr>
      </w:pP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15C6A931" w:rsidR="00EC5CF8"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47D20DAB" w14:textId="77777777" w:rsidR="00755628" w:rsidRPr="006D0E3E" w:rsidRDefault="00755628" w:rsidP="00B055C0">
      <w:pPr>
        <w:spacing w:after="0"/>
        <w:rPr>
          <w:rFonts w:asciiTheme="majorBidi" w:hAnsiTheme="majorBidi" w:cstheme="majorBidi"/>
          <w:b/>
          <w:bCs/>
          <w:sz w:val="24"/>
          <w:szCs w:val="24"/>
        </w:rPr>
      </w:pP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30F421C6" w14:textId="77777777" w:rsidR="00755628" w:rsidRDefault="004E727C" w:rsidP="00C2307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3: Export Search Results</w:t>
      </w:r>
    </w:p>
    <w:p w14:paraId="42E71E93" w14:textId="59EE95C2" w:rsidR="004E727C" w:rsidRPr="006D0E3E" w:rsidRDefault="00C23070" w:rsidP="00C2307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4E727C"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71808F6F" w:rsidR="001C0B78" w:rsidRDefault="006178E3" w:rsidP="00755628">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755628">
        <w:rPr>
          <w:rFonts w:asciiTheme="majorBidi" w:hAnsiTheme="majorBidi" w:cstheme="majorBidi"/>
          <w:b/>
          <w:bCs/>
        </w:rPr>
        <w:tab/>
      </w:r>
      <w:r w:rsidR="00755628">
        <w:rPr>
          <w:rFonts w:asciiTheme="majorBidi" w:hAnsiTheme="majorBidi" w:cstheme="majorBidi"/>
          <w:b/>
          <w:bCs/>
        </w:rPr>
        <w:br/>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6C0B985F" w14:textId="77777777" w:rsidR="001C0B78" w:rsidRDefault="001C0B78">
      <w:pPr>
        <w:rPr>
          <w:rFonts w:asciiTheme="majorBidi" w:eastAsia="Times New Roman" w:hAnsiTheme="majorBidi" w:cstheme="majorBidi"/>
          <w:sz w:val="24"/>
          <w:szCs w:val="24"/>
        </w:rPr>
      </w:pPr>
      <w:r>
        <w:rPr>
          <w:rFonts w:asciiTheme="majorBidi" w:hAnsiTheme="majorBidi" w:cstheme="majorBidi"/>
        </w:rPr>
        <w:br w:type="page"/>
      </w:r>
    </w:p>
    <w:p w14:paraId="1371C6A6"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79B3D271"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1451BD17" w14:textId="77777777" w:rsidR="006F3D84" w:rsidRPr="006F3D84" w:rsidRDefault="006F3D84" w:rsidP="006F3D84">
      <w:pPr>
        <w:spacing w:after="0" w:line="240" w:lineRule="auto"/>
        <w:rPr>
          <w:rFonts w:asciiTheme="majorBidi" w:eastAsia="Times New Roman" w:hAnsiTheme="majorBidi" w:cstheme="majorBidi"/>
          <w:sz w:val="24"/>
          <w:szCs w:val="24"/>
        </w:rPr>
      </w:pPr>
    </w:p>
    <w:p w14:paraId="369E86E7" w14:textId="77777777" w:rsidR="006178E3"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63A78FFF" w14:textId="77777777" w:rsidR="001C0B78" w:rsidRPr="006D0E3E"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67FDA608" w:rsidR="003839FC" w:rsidRPr="00755628" w:rsidRDefault="003839FC" w:rsidP="00755628">
      <w:pPr>
        <w:pStyle w:val="NormalWeb"/>
        <w:spacing w:after="0" w:afterAutospacing="0"/>
        <w:jc w:val="both"/>
        <w:rPr>
          <w:rFonts w:asciiTheme="majorBidi" w:hAnsiTheme="majorBidi" w:cstheme="majorBidi"/>
          <w:b/>
          <w:bCs/>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755628">
        <w:rPr>
          <w:rFonts w:asciiTheme="majorBidi" w:hAnsiTheme="majorBidi" w:cstheme="majorBidi"/>
          <w:b/>
          <w:bCs/>
        </w:rPr>
        <w:br/>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2F6E2897" w14:textId="77777777" w:rsidR="00755628" w:rsidRDefault="00173DAD" w:rsidP="00DA42D3">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p>
    <w:p w14:paraId="7428EF80" w14:textId="62429580" w:rsidR="002B21C5" w:rsidRDefault="00C23070" w:rsidP="00DA42D3">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6B3ECD"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5D12A829" w:rsidR="00A360C2"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 xml:space="preserve">Integrate cases from the University of Leeds, ensuring removal of duplicates. </w:t>
      </w:r>
      <w:r w:rsidR="00DB68C0" w:rsidRPr="00DB68C0">
        <w:rPr>
          <w:b/>
          <w:bCs/>
        </w:rPr>
        <w:t>Extract the relevant data from Case Collection B</w:t>
      </w:r>
      <w:r w:rsidR="005D3736" w:rsidRPr="005D3736">
        <w:rPr>
          <w:b/>
          <w:bCs/>
        </w:rPr>
        <w:t xml:space="preserve"> and the University of Leeds</w:t>
      </w:r>
    </w:p>
    <w:p w14:paraId="37DE7F07" w14:textId="77777777" w:rsidR="00755628" w:rsidRPr="005D3736" w:rsidRDefault="00755628" w:rsidP="00591B60">
      <w:pPr>
        <w:spacing w:after="0" w:line="240" w:lineRule="auto"/>
        <w:rPr>
          <w:b/>
          <w:bCs/>
        </w:rPr>
      </w:pPr>
    </w:p>
    <w:p w14:paraId="1D861472" w14:textId="1FC186AA" w:rsidR="00750B9D" w:rsidRDefault="00DB68C0" w:rsidP="00591B60">
      <w:pPr>
        <w:spacing w:after="0" w:line="240" w:lineRule="auto"/>
      </w:pPr>
      <w:r>
        <w:t>W</w:t>
      </w:r>
      <w:r w:rsidR="0069569B">
        <w:t>e will inquire with the University of Leeds about relevant data for our study</w:t>
      </w:r>
      <w:r w:rsidR="00750B9D">
        <w:t>, t</w:t>
      </w:r>
      <w:r w:rsidR="0069569B">
        <w:t>his data will be integrated</w:t>
      </w:r>
      <w:r w:rsidR="00750B9D">
        <w:t xml:space="preserve"> with </w:t>
      </w:r>
      <w:r w:rsidR="00750B9D" w:rsidRPr="00750B9D">
        <w:t>Case Collection B</w:t>
      </w:r>
      <w:r w:rsidR="0069569B">
        <w:t>,</w:t>
      </w:r>
      <w:r w:rsidR="00FF0BC6">
        <w:t xml:space="preserve"> and</w:t>
      </w:r>
      <w:r w:rsidR="0069569B">
        <w:t xml:space="preserve"> duplicates will be removed accordingly.</w:t>
      </w:r>
    </w:p>
    <w:p w14:paraId="7A60B9FA" w14:textId="77777777" w:rsidR="00750B9D" w:rsidRDefault="00750B9D" w:rsidP="00591B60">
      <w:pPr>
        <w:spacing w:after="0" w:line="240" w:lineRule="auto"/>
      </w:pPr>
    </w:p>
    <w:p w14:paraId="71EBA1B1" w14:textId="0EE7EB19" w:rsidR="00750B9D" w:rsidRPr="00750B9D" w:rsidRDefault="00750B9D" w:rsidP="00750B9D">
      <w:pPr>
        <w:spacing w:after="0" w:line="240" w:lineRule="auto"/>
      </w:pPr>
      <w:r w:rsidRPr="00750B9D">
        <w:t>For each case contained in Case Collection B and the University of Leeds, we were looking</w:t>
      </w:r>
      <w:r>
        <w:t xml:space="preserve"> </w:t>
      </w:r>
      <w:r w:rsidRPr="00750B9D">
        <w:t>for the following information:</w:t>
      </w:r>
      <w:r w:rsidR="0069569B" w:rsidRPr="00750B9D">
        <w:t xml:space="preserve"> </w:t>
      </w:r>
    </w:p>
    <w:p w14:paraId="44707B2C" w14:textId="2B8F91AA" w:rsidR="0039330C" w:rsidRPr="006D0E3E" w:rsidRDefault="00591B60" w:rsidP="00591B6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5F1E2473" w14:textId="77777777" w:rsidR="00755628" w:rsidRDefault="00B84344" w:rsidP="00B055C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p>
    <w:p w14:paraId="0D4D636D" w14:textId="0D505D76" w:rsidR="00B84344" w:rsidRPr="006D0E3E" w:rsidRDefault="00726C7D" w:rsidP="00B055C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B84344"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5097E303" w14:textId="77777777" w:rsidR="00FF72A3" w:rsidRDefault="002D0D16" w:rsidP="00FF72A3">
      <w:pPr>
        <w:pStyle w:val="NormalWeb"/>
        <w:spacing w:after="0" w:afterAutospacing="0"/>
        <w:rPr>
          <w:rFonts w:asciiTheme="majorBidi" w:hAnsiTheme="majorBidi" w:cstheme="majorBidi"/>
          <w:b/>
          <w:bCs/>
        </w:rPr>
      </w:pPr>
      <w:bookmarkStart w:id="18" w:name="_Hlk169883432"/>
      <w:r w:rsidRPr="00FF72A3">
        <w:rPr>
          <w:rFonts w:asciiTheme="majorBidi" w:hAnsiTheme="majorBidi" w:cstheme="majorBidi"/>
          <w:b/>
          <w:bCs/>
        </w:rPr>
        <w:t>Step 9. Group DT Cultural Industry Types and Triggering Factors</w:t>
      </w:r>
      <w:r w:rsidR="00FF72A3" w:rsidRPr="00FF72A3">
        <w:rPr>
          <w:rFonts w:asciiTheme="majorBidi" w:hAnsiTheme="majorBidi" w:cstheme="majorBidi"/>
          <w:b/>
          <w:bCs/>
        </w:rPr>
        <w:t xml:space="preserve"> of Challenges and</w:t>
      </w:r>
      <w:r w:rsidR="00FF72A3">
        <w:rPr>
          <w:rFonts w:asciiTheme="majorBidi" w:hAnsiTheme="majorBidi" w:cstheme="majorBidi"/>
          <w:b/>
          <w:bCs/>
        </w:rPr>
        <w:t xml:space="preserve"> </w:t>
      </w:r>
      <w:r w:rsidR="00FF72A3" w:rsidRPr="00FF72A3">
        <w:rPr>
          <w:rFonts w:asciiTheme="majorBidi" w:hAnsiTheme="majorBidi" w:cstheme="majorBidi"/>
          <w:b/>
          <w:bCs/>
        </w:rPr>
        <w:t>Triggering Factors of</w:t>
      </w:r>
      <w:r w:rsidR="00FF72A3">
        <w:rPr>
          <w:rFonts w:asciiTheme="majorBidi" w:hAnsiTheme="majorBidi" w:cstheme="majorBidi"/>
          <w:b/>
          <w:bCs/>
        </w:rPr>
        <w:t xml:space="preserve"> Opportunities</w:t>
      </w:r>
    </w:p>
    <w:bookmarkEnd w:id="18"/>
    <w:p w14:paraId="072C23B6" w14:textId="2EBDD7CA" w:rsidR="002D0D16" w:rsidRPr="006D0E3E" w:rsidRDefault="002D0D16" w:rsidP="00FF72A3">
      <w:pPr>
        <w:pStyle w:val="NormalWeb"/>
        <w:spacing w:after="0" w:afterAutospacing="0"/>
        <w:jc w:val="both"/>
        <w:rPr>
          <w:rFonts w:asciiTheme="majorBidi" w:hAnsiTheme="majorBidi" w:cstheme="majorBidi"/>
        </w:rPr>
      </w:pPr>
      <w:r w:rsidRPr="006D0E3E">
        <w:rPr>
          <w:rFonts w:asciiTheme="majorBidi" w:hAnsiTheme="majorBidi" w:cstheme="majorBidi"/>
        </w:rPr>
        <w:t xml:space="preserve">We will categorize the types of Digital Transformation (DT) in the Cultural Industry and the triggering factors </w:t>
      </w:r>
      <w:r w:rsidR="007D1FAB">
        <w:rPr>
          <w:rFonts w:asciiTheme="majorBidi" w:hAnsiTheme="majorBidi" w:cstheme="majorBidi"/>
        </w:rPr>
        <w:t>of “</w:t>
      </w:r>
      <w:r w:rsidR="007D1FAB" w:rsidRPr="006D0E3E">
        <w:rPr>
          <w:rFonts w:asciiTheme="majorBidi" w:hAnsiTheme="majorBidi" w:cstheme="majorBidi"/>
        </w:rPr>
        <w:t>Challenges</w:t>
      </w:r>
      <w:r w:rsidR="007D1FAB">
        <w:rPr>
          <w:rFonts w:asciiTheme="majorBidi" w:hAnsiTheme="majorBidi" w:cstheme="majorBidi"/>
        </w:rPr>
        <w:t>”</w:t>
      </w:r>
      <w:r w:rsidR="007D1FAB" w:rsidRPr="006D0E3E">
        <w:rPr>
          <w:rFonts w:asciiTheme="majorBidi" w:hAnsiTheme="majorBidi" w:cstheme="majorBidi"/>
        </w:rPr>
        <w:t>,</w:t>
      </w:r>
      <w:r w:rsidRPr="006D0E3E">
        <w:rPr>
          <w:rFonts w:asciiTheme="majorBidi" w:hAnsiTheme="majorBidi" w:cstheme="majorBidi"/>
        </w:rPr>
        <w:t xml:space="preserve"> </w:t>
      </w:r>
      <w:r w:rsidR="007D1FAB">
        <w:rPr>
          <w:rFonts w:asciiTheme="majorBidi" w:hAnsiTheme="majorBidi" w:cstheme="majorBidi"/>
        </w:rPr>
        <w:t>and the factors of the “</w:t>
      </w:r>
      <w:r w:rsidRPr="006D0E3E">
        <w:rPr>
          <w:rFonts w:asciiTheme="majorBidi" w:hAnsiTheme="majorBidi" w:cstheme="majorBidi"/>
        </w:rPr>
        <w:t>Opportunities</w:t>
      </w:r>
      <w:r w:rsidR="007D1FAB">
        <w:rPr>
          <w:rFonts w:asciiTheme="majorBidi" w:hAnsiTheme="majorBidi" w:cstheme="majorBidi"/>
        </w:rPr>
        <w:t>”</w:t>
      </w:r>
      <w:r w:rsidRPr="006D0E3E">
        <w:rPr>
          <w:rFonts w:asciiTheme="majorBidi" w:hAnsiTheme="majorBidi" w:cstheme="majorBidi"/>
        </w:rPr>
        <w:t xml:space="preserve"> based on their similarities, grouping them into common categories</w:t>
      </w:r>
      <w:r w:rsidR="007D1FAB">
        <w:rPr>
          <w:rFonts w:asciiTheme="majorBidi" w:hAnsiTheme="majorBidi" w:cstheme="majorBidi"/>
        </w:rPr>
        <w:t xml:space="preserve"> to where they belong</w:t>
      </w:r>
      <w:r w:rsidRPr="006D0E3E">
        <w:rPr>
          <w:rFonts w:asciiTheme="majorBidi" w:hAnsiTheme="majorBidi" w:cstheme="majorBidi"/>
        </w:rPr>
        <w:t>. These categorized DT Cultural Industry types and triggering factors will address the research questions posed in this project.</w:t>
      </w:r>
      <w:r w:rsidR="007D1FAB">
        <w:rPr>
          <w:rFonts w:asciiTheme="majorBidi" w:hAnsiTheme="majorBidi" w:cstheme="majorBidi"/>
        </w:rPr>
        <w:tab/>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9"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20"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1" w:name="opportunities"/>
      <w:bookmarkEnd w:id="20"/>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1"/>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2" w:name="Most_critical_hardware_startup_failure_f"/>
      <w:bookmarkEnd w:id="22"/>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9"/>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qgFAKQxgGo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C0B78"/>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231"/>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B2F50"/>
    <w:rsid w:val="003C0648"/>
    <w:rsid w:val="003C2A63"/>
    <w:rsid w:val="00416B45"/>
    <w:rsid w:val="0042709A"/>
    <w:rsid w:val="00433D23"/>
    <w:rsid w:val="00437B79"/>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3D84"/>
    <w:rsid w:val="006F4628"/>
    <w:rsid w:val="007034DA"/>
    <w:rsid w:val="00703842"/>
    <w:rsid w:val="00704C6B"/>
    <w:rsid w:val="00705B8E"/>
    <w:rsid w:val="0070785A"/>
    <w:rsid w:val="007151CB"/>
    <w:rsid w:val="00717A84"/>
    <w:rsid w:val="007208D2"/>
    <w:rsid w:val="00726C7D"/>
    <w:rsid w:val="007323DA"/>
    <w:rsid w:val="00733B02"/>
    <w:rsid w:val="007411CF"/>
    <w:rsid w:val="007417F7"/>
    <w:rsid w:val="00750B9D"/>
    <w:rsid w:val="0075252E"/>
    <w:rsid w:val="00755628"/>
    <w:rsid w:val="00763792"/>
    <w:rsid w:val="00763814"/>
    <w:rsid w:val="00767936"/>
    <w:rsid w:val="00775225"/>
    <w:rsid w:val="00786E63"/>
    <w:rsid w:val="007A1537"/>
    <w:rsid w:val="007B12CE"/>
    <w:rsid w:val="007B4F46"/>
    <w:rsid w:val="007D1FAB"/>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2FDC"/>
    <w:rsid w:val="009A4C8C"/>
    <w:rsid w:val="009A7720"/>
    <w:rsid w:val="009B4CF8"/>
    <w:rsid w:val="009D4E8E"/>
    <w:rsid w:val="009F54AB"/>
    <w:rsid w:val="009F69A9"/>
    <w:rsid w:val="00A03903"/>
    <w:rsid w:val="00A05ADC"/>
    <w:rsid w:val="00A11B74"/>
    <w:rsid w:val="00A129D1"/>
    <w:rsid w:val="00A360C2"/>
    <w:rsid w:val="00A42C72"/>
    <w:rsid w:val="00A43802"/>
    <w:rsid w:val="00A439AA"/>
    <w:rsid w:val="00A507EA"/>
    <w:rsid w:val="00A533B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CE6580"/>
    <w:rsid w:val="00D01FF5"/>
    <w:rsid w:val="00D132F5"/>
    <w:rsid w:val="00D1446F"/>
    <w:rsid w:val="00D3594D"/>
    <w:rsid w:val="00D432FB"/>
    <w:rsid w:val="00D47269"/>
    <w:rsid w:val="00D50359"/>
    <w:rsid w:val="00D82951"/>
    <w:rsid w:val="00DA2925"/>
    <w:rsid w:val="00DA42D3"/>
    <w:rsid w:val="00DA5242"/>
    <w:rsid w:val="00DB479C"/>
    <w:rsid w:val="00DB68C0"/>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D2A6C"/>
    <w:rsid w:val="00FF0BC6"/>
    <w:rsid w:val="00FF288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13594</Words>
  <Characters>77487</Characters>
  <Application>Microsoft Office Word</Application>
  <DocSecurity>0</DocSecurity>
  <Lines>645</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546</cp:revision>
  <cp:lastPrinted>2024-06-21T15:43:00Z</cp:lastPrinted>
  <dcterms:created xsi:type="dcterms:W3CDTF">2024-06-18T23:06:00Z</dcterms:created>
  <dcterms:modified xsi:type="dcterms:W3CDTF">2024-06-21T15:43:00Z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