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6BD91" w14:textId="456853FC" w:rsidR="00E53CA2" w:rsidRDefault="00E53CA2" w:rsidP="00B055C0">
      <w:pPr>
        <w:spacing w:after="0"/>
        <w:jc w:val="center"/>
        <w:rPr>
          <w:rFonts w:asciiTheme="majorBidi" w:hAnsiTheme="majorBidi" w:cstheme="majorBidi"/>
          <w:b/>
          <w:bCs/>
          <w:sz w:val="36"/>
          <w:szCs w:val="36"/>
        </w:rPr>
      </w:pPr>
      <w:bookmarkStart w:id="0" w:name="Xd55eb393866993bbf05d929220b85505e0c70d8"/>
      <w:r>
        <w:rPr>
          <w:noProof/>
        </w:rPr>
        <w:drawing>
          <wp:inline distT="0" distB="0" distL="0" distR="0" wp14:anchorId="48E9FF37" wp14:editId="42402520">
            <wp:extent cx="2367926" cy="2367926"/>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5950" cy="2375950"/>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EB60EE" w:rsidRDefault="00EB60EE" w:rsidP="00B055C0">
      <w:pPr>
        <w:spacing w:after="0"/>
        <w:jc w:val="center"/>
        <w:rPr>
          <w:rFonts w:asciiTheme="majorBidi" w:hAnsiTheme="majorBidi" w:cstheme="majorBidi"/>
          <w:b/>
          <w:bCs/>
          <w:sz w:val="28"/>
          <w:szCs w:val="28"/>
        </w:rPr>
      </w:pPr>
      <w:r w:rsidRPr="00EB60EE">
        <w:rPr>
          <w:rFonts w:asciiTheme="majorBidi" w:hAnsiTheme="majorBidi" w:cstheme="majorBidi"/>
          <w:b/>
          <w:bCs/>
          <w:sz w:val="28"/>
          <w:szCs w:val="28"/>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4C331F" w:rsidRDefault="00392641" w:rsidP="00B055C0">
      <w:pPr>
        <w:spacing w:after="0"/>
        <w:rPr>
          <w:rFonts w:asciiTheme="majorBidi" w:hAnsiTheme="majorBidi" w:cstheme="majorBidi"/>
        </w:rPr>
      </w:pPr>
      <w:r w:rsidRPr="004C331F">
        <w:rPr>
          <w:rFonts w:asciiTheme="majorBidi" w:hAnsiTheme="majorBidi" w:cstheme="majorBidi"/>
        </w:rPr>
        <w:t>Supervisor(s): ----</w:t>
      </w:r>
    </w:p>
    <w:p w14:paraId="4ACB153A" w14:textId="77777777" w:rsidR="00C811D4" w:rsidRDefault="00C811D4" w:rsidP="00B055C0">
      <w:pPr>
        <w:spacing w:after="0"/>
        <w:rPr>
          <w:rFonts w:asciiTheme="majorBidi" w:hAnsiTheme="majorBidi" w:cstheme="majorBidi"/>
        </w:rPr>
      </w:pPr>
    </w:p>
    <w:p w14:paraId="380FA690" w14:textId="77777777" w:rsidR="00EB60EE" w:rsidRDefault="00EB60EE" w:rsidP="00B055C0">
      <w:pPr>
        <w:spacing w:after="0"/>
        <w:rPr>
          <w:rFonts w:asciiTheme="majorBidi" w:hAnsiTheme="majorBidi" w:cstheme="majorBidi"/>
        </w:rPr>
      </w:pPr>
    </w:p>
    <w:p w14:paraId="1A8F0294" w14:textId="77777777" w:rsidR="00A42C72" w:rsidRDefault="00801043" w:rsidP="00A42C72">
      <w:pPr>
        <w:spacing w:after="0"/>
        <w:jc w:val="both"/>
        <w:rPr>
          <w:rFonts w:asciiTheme="majorBidi" w:hAnsiTheme="majorBidi" w:cstheme="majorBidi"/>
        </w:rPr>
      </w:pPr>
      <w:r w:rsidRPr="004C331F">
        <w:rPr>
          <w:rFonts w:asciiTheme="majorBidi" w:hAnsiTheme="majorBidi" w:cstheme="majorBidi"/>
        </w:rPr>
        <w:t xml:space="preserve">Submitted for </w:t>
      </w:r>
      <w:r w:rsidR="00631AF4" w:rsidRPr="004C331F">
        <w:rPr>
          <w:rFonts w:asciiTheme="majorBidi" w:hAnsiTheme="majorBidi" w:cstheme="majorBidi"/>
        </w:rPr>
        <w:t>the Faculty of Art Humanities and Cultures</w:t>
      </w:r>
      <w:r w:rsidR="00A42C72">
        <w:rPr>
          <w:rFonts w:asciiTheme="majorBidi" w:hAnsiTheme="majorBidi" w:cstheme="majorBidi"/>
        </w:rPr>
        <w:tab/>
      </w:r>
      <w:r w:rsidR="00A42C72">
        <w:rPr>
          <w:rFonts w:asciiTheme="majorBidi" w:hAnsiTheme="majorBidi" w:cstheme="majorBidi"/>
        </w:rPr>
        <w:br/>
      </w:r>
    </w:p>
    <w:p w14:paraId="15095BBC" w14:textId="77777777" w:rsidR="00A42C72" w:rsidRDefault="00A42C72" w:rsidP="00A42C72">
      <w:pPr>
        <w:spacing w:after="0"/>
        <w:jc w:val="both"/>
        <w:rPr>
          <w:rFonts w:asciiTheme="majorBidi" w:hAnsiTheme="majorBidi" w:cstheme="majorBidi"/>
        </w:rPr>
      </w:pP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77777777" w:rsidR="00A957EF" w:rsidRPr="0021769C" w:rsidRDefault="009106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4F1FCE7C" w:rsidR="00BD5376" w:rsidRPr="0021769C" w:rsidRDefault="009106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4F8B4BE8" w:rsidR="00BD5376" w:rsidRPr="0021769C" w:rsidRDefault="009106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 xml:space="preserve">RQ </w:t>
      </w:r>
      <w:r w:rsidR="00BD5376"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6AD42C7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72BC605F"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24536E79"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3D6F1405"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7CE2C877"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RQ 8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36E2FAC4"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75C09">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06153A25"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proofErr w:type="gramStart"/>
      <w:r w:rsidRPr="00B610FC">
        <w:rPr>
          <w:rFonts w:asciiTheme="majorBidi" w:hAnsiTheme="majorBidi" w:cstheme="majorBidi"/>
          <w:b/>
          <w:bCs/>
          <w:sz w:val="24"/>
          <w:szCs w:val="24"/>
        </w:rPr>
        <w:t>industry</w:t>
      </w:r>
      <w:r w:rsidR="00DA5242" w:rsidRPr="00B610FC">
        <w:rPr>
          <w:rFonts w:asciiTheme="majorBidi" w:hAnsiTheme="majorBidi" w:cstheme="majorBidi"/>
          <w:b/>
          <w:bCs/>
          <w:sz w:val="24"/>
          <w:szCs w:val="24"/>
        </w:rPr>
        <w:t>:</w:t>
      </w:r>
      <w:proofErr w:type="gramEnd"/>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77777777" w:rsidR="0065604E" w:rsidRPr="00CA5E3C" w:rsidRDefault="0065604E" w:rsidP="00A129D1">
      <w:pPr>
        <w:pStyle w:val="Heading2"/>
        <w:spacing w:before="0"/>
      </w:pPr>
      <w:bookmarkStart w:id="10" w:name="references"/>
      <w:r w:rsidRPr="00CA5E3C">
        <w:t xml:space="preserve">Finding </w:t>
      </w:r>
      <w:r w:rsidRPr="00E31AB7">
        <w:t>studies</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Pr="00DE2805"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322A0CD9" w14:textId="23110481" w:rsidR="00F22C65" w:rsidRPr="00DE2805" w:rsidRDefault="00763792"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77777777" w:rsidR="00A65504" w:rsidRPr="00CA5E3C" w:rsidRDefault="00027B5E"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54F2CCA7" wp14:editId="17069968">
            <wp:extent cx="6184093" cy="7408545"/>
            <wp:effectExtent l="0" t="0" r="7620" b="1905"/>
            <wp:docPr id="767822963"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22963" name="Picture 1" descr="A diagram of a process&#10;&#10;Description automatically generated"/>
                    <pic:cNvPicPr/>
                  </pic:nvPicPr>
                  <pic:blipFill rotWithShape="1">
                    <a:blip r:embed="rId9"/>
                    <a:srcRect l="5407" t="2334" r="150" b="8649"/>
                    <a:stretch/>
                  </pic:blipFill>
                  <pic:spPr bwMode="auto">
                    <a:xfrm>
                      <a:off x="0" y="0"/>
                      <a:ext cx="6219068" cy="7450445"/>
                    </a:xfrm>
                    <a:prstGeom prst="rect">
                      <a:avLst/>
                    </a:prstGeom>
                    <a:ln>
                      <a:noFill/>
                    </a:ln>
                    <a:extLst>
                      <a:ext uri="{53640926-AAD7-44D8-BBD7-CCE9431645EC}">
                        <a14:shadowObscured xmlns:a14="http://schemas.microsoft.com/office/drawing/2010/main"/>
                      </a:ext>
                    </a:extLst>
                  </pic:spPr>
                </pic:pic>
              </a:graphicData>
            </a:graphic>
          </wp:inline>
        </w:drawing>
      </w:r>
    </w:p>
    <w:p w14:paraId="6D76B96F" w14:textId="0C4538B1"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C75C09">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E7E8E8E" w14:textId="0F609ED5" w:rsidR="003A1EA0" w:rsidRDefault="004A47D0" w:rsidP="004A47D0">
      <w:pPr>
        <w:spacing w:after="0"/>
        <w:jc w:val="both"/>
        <w:rPr>
          <w:rFonts w:asciiTheme="majorBidi" w:hAnsiTheme="majorBidi" w:cstheme="majorBidi"/>
          <w:sz w:val="24"/>
          <w:szCs w:val="24"/>
        </w:rPr>
      </w:pPr>
      <w:r>
        <w:rPr>
          <w:rFonts w:asciiTheme="majorBidi" w:hAnsiTheme="majorBidi" w:cstheme="majorBidi"/>
          <w:sz w:val="24"/>
          <w:szCs w:val="24"/>
        </w:rPr>
        <w:br/>
      </w:r>
      <w:r w:rsidR="003A1EA0" w:rsidRPr="006D0E3E">
        <w:rPr>
          <w:rFonts w:asciiTheme="majorBidi" w:hAnsiTheme="majorBidi" w:cstheme="majorBidi"/>
          <w:sz w:val="24"/>
          <w:szCs w:val="24"/>
        </w:rPr>
        <w:t>[(Challenges) OR (Opportunities)] AND [(Digital Transformation) AND ((Cultural Industry)]</w:t>
      </w:r>
    </w:p>
    <w:p w14:paraId="3501280A" w14:textId="77777777" w:rsidR="004A47D0" w:rsidRPr="006D0E3E" w:rsidRDefault="004A47D0" w:rsidP="00B055C0">
      <w:pPr>
        <w:spacing w:after="0"/>
        <w:jc w:val="both"/>
        <w:rPr>
          <w:rFonts w:asciiTheme="majorBidi" w:hAnsiTheme="majorBidi" w:cstheme="majorBidi"/>
          <w:sz w:val="24"/>
          <w:szCs w:val="24"/>
        </w:rPr>
      </w:pPr>
    </w:p>
    <w:p w14:paraId="540DC249" w14:textId="576F0CB3" w:rsidR="003A1EA0" w:rsidRPr="006D0E3E" w:rsidRDefault="003A1EA0"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We used {Digital Transformation} because this term is frequently used in online sources to describe organizations adopting and implementing digital technology. We recognize that some sources discussing (Challenges) OR (Opportunities) might not explicitly use this term. However, this risk was mitigated by the widespread recognition and usage of (Challenges OR Opportunities) in digital communities alongside {Digital Transformation} AND (Cultural Industry)].</w:t>
      </w:r>
      <w:r w:rsidR="00A439AA">
        <w:rPr>
          <w:rFonts w:asciiTheme="majorBidi" w:hAnsiTheme="majorBidi" w:cstheme="majorBidi"/>
          <w:sz w:val="24"/>
          <w:szCs w:val="24"/>
        </w:rPr>
        <w:tab/>
      </w:r>
      <w:r w:rsidR="00A439AA">
        <w:rPr>
          <w:rFonts w:asciiTheme="majorBidi" w:hAnsiTheme="majorBidi" w:cstheme="majorBidi"/>
          <w:sz w:val="24"/>
          <w:szCs w:val="24"/>
        </w:rPr>
        <w:br/>
      </w:r>
    </w:p>
    <w:p w14:paraId="2E8822E8" w14:textId="77777777" w:rsidR="00EC5CF8" w:rsidRPr="006D0E3E"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42E71E93" w14:textId="098BAD29" w:rsidR="004E727C" w:rsidRPr="006D0E3E" w:rsidRDefault="004E727C"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3: Export Search Results</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31BCE442" w:rsidR="006178E3" w:rsidRPr="006D0E3E" w:rsidRDefault="006178E3" w:rsidP="00C23070">
      <w:pPr>
        <w:pStyle w:val="NormalWeb"/>
        <w:spacing w:after="0" w:afterAutospacing="0"/>
        <w:jc w:val="both"/>
        <w:rPr>
          <w:rFonts w:asciiTheme="majorBidi" w:hAnsiTheme="majorBidi" w:cstheme="majorBidi"/>
        </w:rPr>
      </w:pPr>
      <w:r w:rsidRPr="006D0E3E">
        <w:rPr>
          <w:rFonts w:asciiTheme="majorBidi" w:hAnsiTheme="majorBidi" w:cstheme="majorBidi"/>
          <w:b/>
          <w:bCs/>
        </w:rPr>
        <w:t>Step 4: Apply Inclusion/Exclusion Criteria to Search Results Collection A</w:t>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3FD42042"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7428EF80" w14:textId="6EFE0268" w:rsidR="002B21C5" w:rsidRDefault="00173DAD" w:rsidP="00DA42D3">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r w:rsidR="00C23070">
        <w:rPr>
          <w:rFonts w:asciiTheme="majorBidi" w:hAnsiTheme="majorBidi" w:cstheme="majorBidi"/>
          <w:b/>
          <w:bCs/>
        </w:rPr>
        <w:br/>
      </w:r>
      <w:r w:rsidR="006B3ECD" w:rsidRPr="006D0E3E">
        <w:rPr>
          <w:rFonts w:asciiTheme="majorBidi" w:hAnsiTheme="majorBidi" w:cstheme="majorBidi"/>
        </w:rPr>
        <w:t>To</w:t>
      </w:r>
      <w:r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44707B2C" w14:textId="76455670" w:rsidR="0039330C" w:rsidRPr="006D0E3E" w:rsidRDefault="0039330C" w:rsidP="00591B60">
      <w:pPr>
        <w:spacing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b/>
          <w:bCs/>
          <w:sz w:val="24"/>
          <w:szCs w:val="24"/>
        </w:rPr>
        <w:t>Step 7. Extract Relevant Data from Case Collection B</w:t>
      </w:r>
      <w:r w:rsidR="002918D1" w:rsidRPr="006D0E3E">
        <w:rPr>
          <w:rFonts w:asciiTheme="majorBidi" w:eastAsia="Times New Roman" w:hAnsiTheme="majorBidi" w:cstheme="majorBidi"/>
          <w:b/>
          <w:bCs/>
          <w:sz w:val="24"/>
          <w:szCs w:val="24"/>
        </w:rPr>
        <w:br/>
      </w:r>
      <w:r w:rsidRPr="006D0E3E">
        <w:rPr>
          <w:rFonts w:asciiTheme="majorBidi" w:eastAsia="Times New Roman" w:hAnsiTheme="majorBidi" w:cstheme="majorBidi"/>
          <w:sz w:val="24"/>
          <w:szCs w:val="24"/>
        </w:rPr>
        <w:t>For each case involving Digital Transformation and the Cultural Industry in Case Collection B, we sought the following information:</w:t>
      </w:r>
      <w:r w:rsidR="00591B60">
        <w:rPr>
          <w:rFonts w:asciiTheme="majorBidi" w:eastAsia="Times New Roman" w:hAnsiTheme="majorBidi" w:cstheme="majorBidi"/>
          <w:sz w:val="24"/>
          <w:szCs w:val="24"/>
        </w:rPr>
        <w:br/>
      </w:r>
      <w:r w:rsidR="00591B60">
        <w:rPr>
          <w:rFonts w:asciiTheme="majorBidi" w:eastAsia="Times New Roman" w:hAnsiTheme="majorBidi" w:cstheme="majorBidi"/>
          <w:sz w:val="24"/>
          <w:szCs w:val="24"/>
        </w:rPr>
        <w:br/>
      </w:r>
      <w:r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Pr="00726C7D" w:rsidRDefault="00726C7D" w:rsidP="00B055C0">
      <w:pPr>
        <w:spacing w:after="0" w:line="240" w:lineRule="auto"/>
        <w:rPr>
          <w:rFonts w:asciiTheme="majorBidi" w:eastAsia="Times New Roman" w:hAnsiTheme="majorBidi" w:cstheme="majorBidi"/>
          <w:sz w:val="24"/>
          <w:szCs w:val="24"/>
        </w:rPr>
      </w:pPr>
    </w:p>
    <w:p w14:paraId="0D4D636D" w14:textId="47D0D708" w:rsidR="00B84344" w:rsidRPr="006D0E3E" w:rsidRDefault="00B84344"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6" w:name="_Hlk169747484"/>
      <w:r w:rsidRPr="006D0E3E">
        <w:rPr>
          <w:rFonts w:asciiTheme="majorBidi" w:hAnsiTheme="majorBidi" w:cstheme="majorBidi"/>
        </w:rPr>
        <w:t>result in the identification of DT Cultural Industry types and their respective (Challenges or Opportunities) triggering factors</w:t>
      </w:r>
      <w:bookmarkEnd w:id="16"/>
      <w:r w:rsidRPr="006D0E3E">
        <w:rPr>
          <w:rFonts w:asciiTheme="majorBidi" w:hAnsiTheme="majorBidi" w:cstheme="majorBidi"/>
        </w:rPr>
        <w:t>.</w:t>
      </w:r>
    </w:p>
    <w:p w14:paraId="072C23B6" w14:textId="5D11F07C" w:rsidR="002D0D16" w:rsidRPr="006D0E3E" w:rsidRDefault="002D0D16" w:rsidP="00B055C0">
      <w:pPr>
        <w:pStyle w:val="NormalWeb"/>
        <w:spacing w:after="0" w:afterAutospacing="0"/>
        <w:jc w:val="both"/>
        <w:rPr>
          <w:rFonts w:asciiTheme="majorBidi" w:hAnsiTheme="majorBidi" w:cstheme="majorBidi"/>
        </w:rPr>
      </w:pPr>
      <w:r w:rsidRPr="006D0E3E">
        <w:rPr>
          <w:rFonts w:asciiTheme="majorBidi" w:hAnsiTheme="majorBidi" w:cstheme="majorBidi"/>
          <w:b/>
          <w:bCs/>
        </w:rPr>
        <w:t>Step 9. Group DT Cultural Industry Types and Triggering Factors</w:t>
      </w:r>
      <w:r w:rsidR="00726C7D">
        <w:rPr>
          <w:rFonts w:asciiTheme="majorBidi" w:hAnsiTheme="majorBidi" w:cstheme="majorBidi"/>
          <w:b/>
          <w:bCs/>
        </w:rPr>
        <w:tab/>
      </w:r>
      <w:r w:rsidR="00726C7D">
        <w:rPr>
          <w:rFonts w:asciiTheme="majorBidi" w:hAnsiTheme="majorBidi" w:cstheme="majorBidi"/>
          <w:b/>
          <w:bCs/>
        </w:rPr>
        <w:br/>
      </w:r>
      <w:r w:rsidRPr="006D0E3E">
        <w:rPr>
          <w:rFonts w:asciiTheme="majorBidi" w:hAnsiTheme="majorBidi" w:cstheme="majorBidi"/>
        </w:rPr>
        <w:t>We will categorize the types of Digital Transformation (DT) in the Cultural Industry and the triggering factors (Challenges or Opportunities) based on their similarities, grouping them into common categories. These categorized DT Cultural Industry types and triggering factors will address the research questions posed in this project.</w:t>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7" w:name="outline-of-contribution"/>
      <w:bookmarkEnd w:id="15"/>
      <w:r w:rsidRPr="00CA5E3C">
        <w:rPr>
          <w:rFonts w:asciiTheme="majorBidi" w:hAnsiTheme="majorBidi"/>
        </w:rPr>
        <w:t>Outline of Contribution</w:t>
      </w:r>
    </w:p>
    <w:p w14:paraId="440FFE36" w14:textId="09AAD944" w:rsidR="00CC3A31" w:rsidRPr="00CC3A31" w:rsidRDefault="0065604E" w:rsidP="00B055C0">
      <w:pPr>
        <w:pStyle w:val="FirstParagraph"/>
        <w:spacing w:before="0" w:after="0"/>
        <w:jc w:val="both"/>
        <w:rPr>
          <w:rFonts w:asciiTheme="majorBidi" w:hAnsiTheme="majorBidi" w:cstheme="majorBidi"/>
          <w:sz w:val="24"/>
          <w:szCs w:val="24"/>
        </w:rPr>
      </w:pPr>
      <w:r w:rsidRPr="00B07725">
        <w:rPr>
          <w:rFonts w:asciiTheme="majorBidi" w:hAnsiTheme="majorBidi" w:cstheme="majorBidi"/>
          <w:sz w:val="24"/>
          <w:szCs w:val="24"/>
        </w:rP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00CC3A31">
        <w:rPr>
          <w:rFonts w:asciiTheme="majorBidi" w:hAnsiTheme="majorBidi" w:cstheme="majorBidi"/>
          <w:sz w:val="24"/>
          <w:szCs w:val="24"/>
        </w:rPr>
        <w:tab/>
      </w:r>
      <w:r w:rsidR="00CC3A31">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5649617" w14:textId="77777777" w:rsidR="00CA6B64" w:rsidRPr="00CA5E3C" w:rsidRDefault="00CA6B64" w:rsidP="00B055C0">
      <w:pPr>
        <w:pStyle w:val="Heading2"/>
        <w:spacing w:before="0"/>
        <w:rPr>
          <w:rFonts w:asciiTheme="majorBidi" w:hAnsiTheme="majorBidi"/>
        </w:rPr>
      </w:pPr>
      <w:bookmarkStart w:id="18" w:name="challenges"/>
      <w:r w:rsidRPr="00CA5E3C">
        <w:rPr>
          <w:rFonts w:asciiTheme="majorBidi" w:hAnsiTheme="majorBidi"/>
        </w:rPr>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B055C0">
      <w:pPr>
        <w:pStyle w:val="Heading2"/>
        <w:rPr>
          <w:rFonts w:asciiTheme="majorBidi" w:hAnsiTheme="majorBidi"/>
        </w:rPr>
      </w:pPr>
      <w:bookmarkStart w:id="19" w:name="opportunities"/>
      <w:bookmarkEnd w:id="18"/>
      <w:r w:rsidRPr="00CA5E3C">
        <w:rPr>
          <w:rFonts w:asciiTheme="majorBidi" w:hAnsiTheme="majorBidi"/>
        </w:rPr>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19"/>
    <w:p w14:paraId="78AF79B6" w14:textId="77777777" w:rsidR="00CA6B64" w:rsidRPr="00CA5E3C" w:rsidRDefault="00CA6B64" w:rsidP="00B055C0">
      <w:pPr>
        <w:pStyle w:val="Heading2"/>
        <w:rPr>
          <w:rFonts w:asciiTheme="majorBidi" w:hAnsiTheme="majorBidi"/>
        </w:rPr>
      </w:pPr>
      <w:r w:rsidRPr="00CA5E3C">
        <w:rPr>
          <w:rFonts w:asciiTheme="majorBidi" w:hAnsiTheme="majorBidi"/>
        </w:rPr>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0" w:name="Most_critical_hardware_startup_failure_f"/>
      <w:bookmarkEnd w:id="20"/>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Pilot test data collection tools and </w:t>
      </w:r>
      <w:proofErr w:type="gramStart"/>
      <w:r w:rsidRPr="00D132F5">
        <w:rPr>
          <w:rFonts w:asciiTheme="majorBidi" w:hAnsiTheme="majorBidi" w:cstheme="majorBidi"/>
          <w:sz w:val="20"/>
          <w:szCs w:val="20"/>
        </w:rPr>
        <w:t>refine</w:t>
      </w:r>
      <w:proofErr w:type="gramEnd"/>
      <w:r w:rsidRPr="00D132F5">
        <w:rPr>
          <w:rFonts w:asciiTheme="majorBidi" w:hAnsiTheme="majorBidi" w:cstheme="majorBidi"/>
          <w:sz w:val="20"/>
          <w:szCs w:val="20"/>
        </w:rPr>
        <w:t xml:space="preserv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7"/>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C0E4694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29"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2"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4"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6"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2"/>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39"/>
  </w:num>
  <w:num w:numId="11" w16cid:durableId="940382924">
    <w:abstractNumId w:val="27"/>
  </w:num>
  <w:num w:numId="12" w16cid:durableId="743838460">
    <w:abstractNumId w:val="25"/>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7"/>
  </w:num>
  <w:num w:numId="18" w16cid:durableId="1698238854">
    <w:abstractNumId w:val="19"/>
  </w:num>
  <w:num w:numId="19" w16cid:durableId="1319579887">
    <w:abstractNumId w:val="35"/>
  </w:num>
  <w:num w:numId="20" w16cid:durableId="458884930">
    <w:abstractNumId w:val="12"/>
  </w:num>
  <w:num w:numId="21" w16cid:durableId="917593023">
    <w:abstractNumId w:val="4"/>
  </w:num>
  <w:num w:numId="22" w16cid:durableId="88160254">
    <w:abstractNumId w:val="29"/>
  </w:num>
  <w:num w:numId="23" w16cid:durableId="882015111">
    <w:abstractNumId w:val="31"/>
  </w:num>
  <w:num w:numId="24" w16cid:durableId="922300634">
    <w:abstractNumId w:val="33"/>
  </w:num>
  <w:num w:numId="25" w16cid:durableId="1843660685">
    <w:abstractNumId w:val="28"/>
  </w:num>
  <w:num w:numId="26" w16cid:durableId="816654906">
    <w:abstractNumId w:val="15"/>
  </w:num>
  <w:num w:numId="27" w16cid:durableId="2017034079">
    <w:abstractNumId w:val="18"/>
  </w:num>
  <w:num w:numId="28" w16cid:durableId="242833531">
    <w:abstractNumId w:val="10"/>
  </w:num>
  <w:num w:numId="29" w16cid:durableId="248196968">
    <w:abstractNumId w:val="38"/>
  </w:num>
  <w:num w:numId="30" w16cid:durableId="1354455817">
    <w:abstractNumId w:val="16"/>
  </w:num>
  <w:num w:numId="31" w16cid:durableId="569075249">
    <w:abstractNumId w:val="20"/>
  </w:num>
  <w:num w:numId="32" w16cid:durableId="1161390976">
    <w:abstractNumId w:val="34"/>
  </w:num>
  <w:num w:numId="33" w16cid:durableId="1262102425">
    <w:abstractNumId w:val="30"/>
  </w:num>
  <w:num w:numId="34" w16cid:durableId="1668821798">
    <w:abstractNumId w:val="2"/>
  </w:num>
  <w:num w:numId="35" w16cid:durableId="1059397613">
    <w:abstractNumId w:val="1"/>
  </w:num>
  <w:num w:numId="36" w16cid:durableId="2028023397">
    <w:abstractNumId w:val="11"/>
  </w:num>
  <w:num w:numId="37" w16cid:durableId="1706979931">
    <w:abstractNumId w:val="36"/>
  </w:num>
  <w:num w:numId="38" w16cid:durableId="2078897184">
    <w:abstractNumId w:val="24"/>
  </w:num>
  <w:num w:numId="39" w16cid:durableId="1530952809">
    <w:abstractNumId w:val="6"/>
  </w:num>
  <w:num w:numId="40" w16cid:durableId="1059741995">
    <w:abstractNumId w:val="41"/>
  </w:num>
  <w:num w:numId="41" w16cid:durableId="769664088">
    <w:abstractNumId w:val="3"/>
  </w:num>
  <w:num w:numId="42" w16cid:durableId="933515667">
    <w:abstractNumId w:val="26"/>
  </w:num>
  <w:num w:numId="43" w16cid:durableId="227304976">
    <w:abstractNumId w:val="23"/>
  </w:num>
  <w:num w:numId="44" w16cid:durableId="114300391">
    <w:abstractNumId w:val="4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q0FANavNRYtAAAA"/>
  </w:docVars>
  <w:rsids>
    <w:rsidRoot w:val="0065604E"/>
    <w:rsid w:val="0002205E"/>
    <w:rsid w:val="0002393C"/>
    <w:rsid w:val="0002796B"/>
    <w:rsid w:val="00027B5E"/>
    <w:rsid w:val="00053D31"/>
    <w:rsid w:val="0005650D"/>
    <w:rsid w:val="00072666"/>
    <w:rsid w:val="00090C37"/>
    <w:rsid w:val="000C1469"/>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B027B"/>
    <w:rsid w:val="001D16F0"/>
    <w:rsid w:val="001F2669"/>
    <w:rsid w:val="00213C9E"/>
    <w:rsid w:val="0021769C"/>
    <w:rsid w:val="00240EBC"/>
    <w:rsid w:val="00243354"/>
    <w:rsid w:val="0024621C"/>
    <w:rsid w:val="002578DF"/>
    <w:rsid w:val="002633B1"/>
    <w:rsid w:val="0027081F"/>
    <w:rsid w:val="00283A7F"/>
    <w:rsid w:val="002918D1"/>
    <w:rsid w:val="002931DB"/>
    <w:rsid w:val="002A3251"/>
    <w:rsid w:val="002A47A1"/>
    <w:rsid w:val="002B21C5"/>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81FE3"/>
    <w:rsid w:val="00382A2F"/>
    <w:rsid w:val="00383321"/>
    <w:rsid w:val="003839FC"/>
    <w:rsid w:val="00390349"/>
    <w:rsid w:val="00392641"/>
    <w:rsid w:val="0039330C"/>
    <w:rsid w:val="003A1EA0"/>
    <w:rsid w:val="003B2EEA"/>
    <w:rsid w:val="003C0648"/>
    <w:rsid w:val="003C2A63"/>
    <w:rsid w:val="00416B45"/>
    <w:rsid w:val="0042709A"/>
    <w:rsid w:val="00433D23"/>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D0992"/>
    <w:rsid w:val="006178E3"/>
    <w:rsid w:val="006302C6"/>
    <w:rsid w:val="00631AF4"/>
    <w:rsid w:val="006536CE"/>
    <w:rsid w:val="0065604E"/>
    <w:rsid w:val="006572B4"/>
    <w:rsid w:val="00667488"/>
    <w:rsid w:val="006766E8"/>
    <w:rsid w:val="006812FF"/>
    <w:rsid w:val="006A5E0B"/>
    <w:rsid w:val="006B1CC1"/>
    <w:rsid w:val="006B3ECD"/>
    <w:rsid w:val="006B5B7F"/>
    <w:rsid w:val="006D0E3E"/>
    <w:rsid w:val="006E1DA2"/>
    <w:rsid w:val="006E5B39"/>
    <w:rsid w:val="006F3B50"/>
    <w:rsid w:val="006F4628"/>
    <w:rsid w:val="007034DA"/>
    <w:rsid w:val="00703842"/>
    <w:rsid w:val="00704C6B"/>
    <w:rsid w:val="00705B8E"/>
    <w:rsid w:val="00717A84"/>
    <w:rsid w:val="007208D2"/>
    <w:rsid w:val="00726C7D"/>
    <w:rsid w:val="00733B02"/>
    <w:rsid w:val="007411CF"/>
    <w:rsid w:val="007417F7"/>
    <w:rsid w:val="0075252E"/>
    <w:rsid w:val="00763792"/>
    <w:rsid w:val="00763814"/>
    <w:rsid w:val="00767936"/>
    <w:rsid w:val="00775225"/>
    <w:rsid w:val="00786E63"/>
    <w:rsid w:val="007B12CE"/>
    <w:rsid w:val="007B4F46"/>
    <w:rsid w:val="007D69AA"/>
    <w:rsid w:val="007E4287"/>
    <w:rsid w:val="00801043"/>
    <w:rsid w:val="008102CF"/>
    <w:rsid w:val="00835270"/>
    <w:rsid w:val="00844E72"/>
    <w:rsid w:val="00854730"/>
    <w:rsid w:val="00864213"/>
    <w:rsid w:val="00875222"/>
    <w:rsid w:val="00883A6A"/>
    <w:rsid w:val="008870D9"/>
    <w:rsid w:val="0089253F"/>
    <w:rsid w:val="008A1D74"/>
    <w:rsid w:val="008B5EC8"/>
    <w:rsid w:val="008C39A8"/>
    <w:rsid w:val="008E5206"/>
    <w:rsid w:val="00903745"/>
    <w:rsid w:val="00910676"/>
    <w:rsid w:val="00915CBA"/>
    <w:rsid w:val="00936FCE"/>
    <w:rsid w:val="009461A5"/>
    <w:rsid w:val="00984C17"/>
    <w:rsid w:val="009A4C8C"/>
    <w:rsid w:val="009A7720"/>
    <w:rsid w:val="009B4CF8"/>
    <w:rsid w:val="009D4E8E"/>
    <w:rsid w:val="009F54AB"/>
    <w:rsid w:val="009F69A9"/>
    <w:rsid w:val="00A03903"/>
    <w:rsid w:val="00A129D1"/>
    <w:rsid w:val="00A42C72"/>
    <w:rsid w:val="00A43802"/>
    <w:rsid w:val="00A439AA"/>
    <w:rsid w:val="00A507EA"/>
    <w:rsid w:val="00A64BB7"/>
    <w:rsid w:val="00A65504"/>
    <w:rsid w:val="00A840E4"/>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4765"/>
    <w:rsid w:val="00BC4DF9"/>
    <w:rsid w:val="00BD5376"/>
    <w:rsid w:val="00BE693D"/>
    <w:rsid w:val="00BE751F"/>
    <w:rsid w:val="00BE773A"/>
    <w:rsid w:val="00BF327F"/>
    <w:rsid w:val="00C15248"/>
    <w:rsid w:val="00C23070"/>
    <w:rsid w:val="00C63045"/>
    <w:rsid w:val="00C75C09"/>
    <w:rsid w:val="00C811D4"/>
    <w:rsid w:val="00C835AB"/>
    <w:rsid w:val="00C84404"/>
    <w:rsid w:val="00C95029"/>
    <w:rsid w:val="00C97625"/>
    <w:rsid w:val="00CA5B91"/>
    <w:rsid w:val="00CA5E3C"/>
    <w:rsid w:val="00CA6B64"/>
    <w:rsid w:val="00CC3A31"/>
    <w:rsid w:val="00CC41DC"/>
    <w:rsid w:val="00CD5E39"/>
    <w:rsid w:val="00CD613F"/>
    <w:rsid w:val="00D01FF5"/>
    <w:rsid w:val="00D132F5"/>
    <w:rsid w:val="00D1446F"/>
    <w:rsid w:val="00D3594D"/>
    <w:rsid w:val="00D432FB"/>
    <w:rsid w:val="00D47269"/>
    <w:rsid w:val="00D50359"/>
    <w:rsid w:val="00DA2925"/>
    <w:rsid w:val="00DA42D3"/>
    <w:rsid w:val="00DA5242"/>
    <w:rsid w:val="00DB479C"/>
    <w:rsid w:val="00DB7279"/>
    <w:rsid w:val="00DC2CC4"/>
    <w:rsid w:val="00DD0E52"/>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65FE"/>
    <w:rsid w:val="00EE19D4"/>
    <w:rsid w:val="00EF24F3"/>
    <w:rsid w:val="00F22C65"/>
    <w:rsid w:val="00F40D53"/>
    <w:rsid w:val="00F454DE"/>
    <w:rsid w:val="00F4559E"/>
    <w:rsid w:val="00F53958"/>
    <w:rsid w:val="00F7104B"/>
    <w:rsid w:val="00F97B09"/>
    <w:rsid w:val="00FA3DAD"/>
    <w:rsid w:val="00FA5A3B"/>
    <w:rsid w:val="00FB55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13458</Words>
  <Characters>76716</Characters>
  <Application>Microsoft Office Word</Application>
  <DocSecurity>0</DocSecurity>
  <Lines>639</Lines>
  <Paragraphs>179</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Introduction</vt:lpstr>
      <vt:lpstr>Problem Statement</vt:lpstr>
      <vt:lpstr>Possible Research questions</vt:lpstr>
      <vt:lpstr>Review of the Related Work</vt:lpstr>
      <vt:lpstr>    What is Digital transformation?</vt:lpstr>
      <vt:lpstr>    Finding studies</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89995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469</cp:revision>
  <cp:lastPrinted>2024-06-20T07:21:00Z</cp:lastPrinted>
  <dcterms:created xsi:type="dcterms:W3CDTF">2024-06-18T23:06:00Z</dcterms:created>
  <dcterms:modified xsi:type="dcterms:W3CDTF">2024-06-20T07:21:00Z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