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77D67" w14:textId="77777777" w:rsidR="0065604E" w:rsidRDefault="0065604E" w:rsidP="0065604E">
      <w:pPr>
        <w:pStyle w:val="Heading1"/>
      </w:pPr>
      <w:bookmarkStart w:id="0" w:name="X81ddf0ed5992843319441150e86fff6c30f703a"/>
      <w:r>
        <w:t>PhD Leeds Doctoral College University of Leeds</w:t>
      </w:r>
    </w:p>
    <w:p w14:paraId="08728767" w14:textId="77777777" w:rsidR="0065604E" w:rsidRDefault="0065604E" w:rsidP="0065604E">
      <w:pPr>
        <w:pStyle w:val="FirstParagraph"/>
      </w:pPr>
      <w:r>
        <w:t>By Heider Jeffer</w:t>
      </w:r>
    </w:p>
    <w:p w14:paraId="2CC1351F" w14:textId="77777777" w:rsidR="0065604E" w:rsidRDefault="0065604E" w:rsidP="007208D2">
      <w:pPr>
        <w:pStyle w:val="Heading1"/>
      </w:pPr>
      <w:bookmarkStart w:id="1" w:name="Xd55eb393866993bbf05d929220b85505e0c70d8"/>
      <w:bookmarkEnd w:id="0"/>
      <w:r>
        <w:t>Title: {The Impact of Digital Transformation on Performance and the Cultural Industry: Challenges and Opportunities}</w:t>
      </w:r>
    </w:p>
    <w:p w14:paraId="0B1FB166" w14:textId="77777777" w:rsidR="0065604E" w:rsidRDefault="0065604E" w:rsidP="0065604E">
      <w:pPr>
        <w:pStyle w:val="Heading2"/>
      </w:pPr>
      <w:bookmarkStart w:id="2" w:name="review-of-the-related-work"/>
      <w:r>
        <w:t>Review of the Related Work</w:t>
      </w:r>
    </w:p>
    <w:p w14:paraId="59E55884" w14:textId="77777777" w:rsidR="0065604E" w:rsidRDefault="0065604E" w:rsidP="0065604E">
      <w:pPr>
        <w:pStyle w:val="Heading3"/>
      </w:pPr>
      <w:bookmarkStart w:id="3" w:name="what-is-digital-transformation"/>
      <w:r>
        <w:t>What is Digital transformation?</w:t>
      </w:r>
    </w:p>
    <w:p w14:paraId="4E819E36" w14:textId="55EFCD7C" w:rsidR="0065604E" w:rsidRDefault="0065604E" w:rsidP="0065604E">
      <w:pPr>
        <w:pStyle w:val="FirstParagraph"/>
      </w:pPr>
      <w:r>
        <w:t xml:space="preserve">The cultural industry, also known as the creative industry, encompasses businesses and activities that produce, create, distribute, and commercialize creative content and cultural products  </w:t>
      </w:r>
      <w:r>
        <w:fldChar w:fldCharType="begin" w:fldLock="1"/>
      </w:r>
      <w:r w:rsidR="00185DD6">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B12B81" w:rsidRPr="00B12B81">
        <w:rPr>
          <w:noProof/>
        </w:rPr>
        <w:t>[1]</w:t>
      </w:r>
      <w:r>
        <w:fldChar w:fldCharType="end"/>
      </w:r>
      <w:r>
        <w:t xml:space="preserve">  </w:t>
      </w:r>
      <w:r>
        <w:fldChar w:fldCharType="begin" w:fldLock="1"/>
      </w:r>
      <w:r w:rsidR="00185DD6">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B12B81" w:rsidRPr="00B12B81">
        <w:rPr>
          <w:noProof/>
        </w:rPr>
        <w:t>[2]</w:t>
      </w:r>
      <w:r>
        <w:fldChar w:fldCharType="end"/>
      </w:r>
      <w:r>
        <w:t xml:space="preserve"> </w:t>
      </w:r>
      <w:r>
        <w:fldChar w:fldCharType="begin" w:fldLock="1"/>
      </w:r>
      <w:r w:rsidR="00185DD6">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185DD6">
        <w:rPr>
          <w:rFonts w:ascii="Cambria Math" w:hAnsi="Cambria Math" w:cs="Cambria Math"/>
        </w:rPr>
        <w:instrText>‐</w:instrText>
      </w:r>
      <w:r w:rsidR="00185DD6">
        <w:instrText xml:space="preserve"> and heritage</w:instrText>
      </w:r>
      <w:r w:rsidR="00185DD6">
        <w:rPr>
          <w:rFonts w:ascii="Cambria Math" w:hAnsi="Cambria Math" w:cs="Cambria Math"/>
        </w:rPr>
        <w:instrText>‐</w:instrText>
      </w:r>
      <w:r w:rsidR="00185DD6">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B12B81" w:rsidRPr="00B12B81">
        <w:rPr>
          <w:noProof/>
        </w:rPr>
        <w:t>[3]</w:t>
      </w:r>
      <w:r>
        <w:fldChar w:fldCharType="end"/>
      </w:r>
    </w:p>
    <w:p w14:paraId="5D9F6AC9" w14:textId="7BDAF2D8" w:rsidR="0065604E" w:rsidRDefault="0065604E" w:rsidP="0065604E">
      <w:pPr>
        <w:pStyle w:val="BodyText"/>
      </w:pPr>
      <w:r>
        <w:t xml:space="preserve">Digital transformation (DT): is the process by which an organization adopts and implements digital technology to create new or modify existing products, services, and operations by converting business processes into a digital format </w:t>
      </w:r>
      <w:r>
        <w:fldChar w:fldCharType="begin" w:fldLock="1"/>
      </w:r>
      <w:r w:rsidR="00185DD6">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B12B81" w:rsidRPr="00B12B81">
        <w:rPr>
          <w:noProof/>
        </w:rPr>
        <w:t>[4]</w:t>
      </w:r>
      <w:r>
        <w:fldChar w:fldCharType="end"/>
      </w:r>
      <w:r>
        <w:t xml:space="preserve"> </w:t>
      </w:r>
      <w:r>
        <w:fldChar w:fldCharType="begin" w:fldLock="1"/>
      </w:r>
      <w:r w:rsidR="00185DD6">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B12B81" w:rsidRPr="00B12B81">
        <w:rPr>
          <w:noProof/>
        </w:rPr>
        <w:t>[5]</w:t>
      </w:r>
      <w:r>
        <w:fldChar w:fldCharType="end"/>
      </w:r>
      <w:r>
        <w:t xml:space="preserve"> </w:t>
      </w:r>
      <w:r>
        <w:fldChar w:fldCharType="begin" w:fldLock="1"/>
      </w:r>
      <w:r w:rsidR="00185DD6">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B12B81" w:rsidRPr="00B12B81">
        <w:rPr>
          <w:noProof/>
        </w:rPr>
        <w:t>[6]</w:t>
      </w:r>
      <w:r>
        <w:fldChar w:fldCharType="end"/>
      </w:r>
      <w:r>
        <w:t>.</w:t>
      </w:r>
    </w:p>
    <w:p w14:paraId="47D093CF" w14:textId="77777777" w:rsidR="0065604E" w:rsidRDefault="0065604E" w:rsidP="0065604E">
      <w:pPr>
        <w:pStyle w:val="BodyText"/>
      </w:pPr>
      <w:r>
        <w:t>The digital transformation of the cultural industry 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4" w:name="references"/>
      <w:r>
        <w:t>Finding studies</w:t>
      </w:r>
    </w:p>
    <w:p w14:paraId="0AF52D34" w14:textId="77777777" w:rsidR="0065604E" w:rsidRDefault="0065604E" w:rsidP="0065604E">
      <w:pPr>
        <w:pStyle w:val="BodyText"/>
      </w:pPr>
      <w:r>
        <w:t xml:space="preserve">Digital transformation has become a significant topic of interest across various industries, including the financial service industry, oil and gas sector, automotive industry, and food retail industry. </w:t>
      </w:r>
    </w:p>
    <w:p w14:paraId="7AD3D56A" w14:textId="4D65BFD2" w:rsidR="0065604E" w:rsidRDefault="0065604E" w:rsidP="0065604E">
      <w:pPr>
        <w:pStyle w:val="BodyText"/>
      </w:pPr>
      <w:r>
        <w:t xml:space="preserve">Dehnert </w:t>
      </w:r>
      <w:r>
        <w:fldChar w:fldCharType="begin" w:fldLock="1"/>
      </w:r>
      <w:r w:rsidR="00185DD6">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fldChar w:fldCharType="separate"/>
      </w:r>
      <w:r w:rsidR="00B12B81" w:rsidRPr="00B12B81">
        <w:rPr>
          <w:noProof/>
        </w:rPr>
        <w:t>[7]</w:t>
      </w:r>
      <w:r>
        <w:fldChar w:fldCharType="end"/>
      </w:r>
      <w:r>
        <w:t xml:space="preserve"> highlights the importance of understanding how digital transformation dimensions are connected to firm performance, with contradictory findings in existing research. </w:t>
      </w:r>
    </w:p>
    <w:p w14:paraId="2BAF462F" w14:textId="5C4B073A" w:rsidR="0065604E" w:rsidRDefault="0065604E" w:rsidP="0065604E">
      <w:pPr>
        <w:pStyle w:val="BodyText"/>
      </w:pPr>
      <w:r>
        <w:t xml:space="preserve">Affonso et al </w:t>
      </w:r>
      <w:r>
        <w:fldChar w:fldCharType="begin" w:fldLock="1"/>
      </w:r>
      <w:r w:rsidR="00185DD6">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fldChar w:fldCharType="separate"/>
      </w:r>
      <w:r w:rsidR="00B12B81" w:rsidRPr="00B12B81">
        <w:rPr>
          <w:noProof/>
        </w:rPr>
        <w:t>[8]</w:t>
      </w:r>
      <w:r>
        <w:fldChar w:fldCharType="end"/>
      </w:r>
      <w:r>
        <w:t xml:space="preserve"> emphasize the need for innovation in the oil and gas industry, pointing out the risk-averse approach of traditional project management as a hindrance to progress. </w:t>
      </w:r>
    </w:p>
    <w:p w14:paraId="7E244A85" w14:textId="29102809" w:rsidR="0065604E" w:rsidRDefault="0065604E" w:rsidP="0065604E">
      <w:pPr>
        <w:pStyle w:val="BodyText"/>
      </w:pPr>
      <w:r>
        <w:t xml:space="preserve">Llopis-Albert et al </w:t>
      </w:r>
      <w:r>
        <w:fldChar w:fldCharType="begin" w:fldLock="1"/>
      </w:r>
      <w:r w:rsidR="00185DD6">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185DD6">
        <w:rPr>
          <w:rFonts w:ascii="Cambria Math" w:hAnsi="Cambria Math" w:cs="Cambria Math"/>
        </w:rPr>
        <w:instrText>‐</w:instrText>
      </w:r>
      <w:r w:rsidR="00185DD6">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fldChar w:fldCharType="separate"/>
      </w:r>
      <w:r w:rsidR="00B12B81" w:rsidRPr="00B12B81">
        <w:rPr>
          <w:noProof/>
        </w:rPr>
        <w:t>[9]</w:t>
      </w:r>
      <w:r>
        <w:fldChar w:fldCharType="end"/>
      </w:r>
      <w:r>
        <w:t> utilize fuzzy-set qualitative comparative analysis to analyze the impact of digital transformation on business performance models in the automotive industry.</w:t>
      </w:r>
    </w:p>
    <w:p w14:paraId="514BBB2A" w14:textId="079EC259" w:rsidR="0065604E" w:rsidRDefault="0065604E" w:rsidP="0065604E">
      <w:pPr>
        <w:pStyle w:val="BodyText"/>
      </w:pPr>
      <w:r>
        <w:t xml:space="preserve"> In the context of the banking sector, Naimi-Sadigh et al </w:t>
      </w:r>
      <w:r>
        <w:fldChar w:fldCharType="begin" w:fldLock="1"/>
      </w:r>
      <w:r w:rsidR="00185DD6">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fldChar w:fldCharType="separate"/>
      </w:r>
      <w:r w:rsidR="00B12B81" w:rsidRPr="00B12B81">
        <w:rPr>
          <w:noProof/>
        </w:rPr>
        <w:t>[10]</w:t>
      </w:r>
      <w:r>
        <w:fldChar w:fldCharType="end"/>
      </w:r>
      <w:r>
        <w:t xml:space="preserve"> discuss the implementation of digital transformation to respond to disruptions and drive innovation in banking services. </w:t>
      </w:r>
    </w:p>
    <w:p w14:paraId="615814FF" w14:textId="3A72CBFA" w:rsidR="0065604E" w:rsidRDefault="0065604E" w:rsidP="0065604E">
      <w:pPr>
        <w:pStyle w:val="BodyText"/>
      </w:pPr>
      <w:r>
        <w:lastRenderedPageBreak/>
        <w:t xml:space="preserve">Manjula et al </w:t>
      </w:r>
      <w:r>
        <w:fldChar w:fldCharType="begin" w:fldLock="1"/>
      </w:r>
      <w:r w:rsidR="00185DD6">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fldChar w:fldCharType="separate"/>
      </w:r>
      <w:r w:rsidR="00B12B81" w:rsidRPr="00B12B81">
        <w:rPr>
          <w:noProof/>
        </w:rPr>
        <w:t>[11]</w:t>
      </w:r>
      <w:r>
        <w:fldChar w:fldCharType="end"/>
      </w:r>
      <w:r>
        <w:t xml:space="preserve"> focus on digital technologies in the food retail industry, identifying challenges and opportunities in the digital transformation process.</w:t>
      </w:r>
    </w:p>
    <w:p w14:paraId="0B2A5335" w14:textId="126178C8" w:rsidR="0065604E" w:rsidRDefault="0065604E" w:rsidP="0065604E">
      <w:pPr>
        <w:pStyle w:val="BodyText"/>
      </w:pPr>
      <w:r>
        <w:t xml:space="preserve"> Imran et al </w:t>
      </w:r>
      <w:r>
        <w:fldChar w:fldCharType="begin" w:fldLock="1"/>
      </w:r>
      <w:r w:rsidR="00185DD6">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fldChar w:fldCharType="separate"/>
      </w:r>
      <w:r w:rsidR="00B12B81" w:rsidRPr="00B12B81">
        <w:rPr>
          <w:noProof/>
        </w:rPr>
        <w:t>[12]</w:t>
      </w:r>
      <w:r>
        <w:fldChar w:fldCharType="end"/>
      </w:r>
      <w:r>
        <w:t xml:space="preserve">  explore digital transformation in industrial organizations, aiming to identify key enablers and performance outcomes through data collected from leading industrial organizations. </w:t>
      </w:r>
    </w:p>
    <w:p w14:paraId="71C6C030" w14:textId="479363B4" w:rsidR="0065604E" w:rsidRDefault="0065604E" w:rsidP="0065604E">
      <w:pPr>
        <w:pStyle w:val="BodyText"/>
      </w:pPr>
      <w:r>
        <w:t xml:space="preserve">Furthermore, Kumar et al. </w:t>
      </w:r>
      <w:r>
        <w:fldChar w:fldCharType="begin" w:fldLock="1"/>
      </w:r>
      <w:r w:rsidR="00185DD6">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fldChar w:fldCharType="separate"/>
      </w:r>
      <w:r w:rsidR="00B12B81" w:rsidRPr="00B12B81">
        <w:rPr>
          <w:noProof/>
        </w:rPr>
        <w:t>[13]</w:t>
      </w:r>
      <w:r>
        <w:fldChar w:fldCharType="end"/>
      </w:r>
      <w:r>
        <w:t> propose a framework for assessing the social acceptability of Industry 4.0 technologies in digital manufacturing, highlighting the importance of considering social dimensions in technological advancements.</w:t>
      </w:r>
    </w:p>
    <w:p w14:paraId="70C7EA85" w14:textId="77777777" w:rsidR="0065604E" w:rsidRDefault="0065604E" w:rsidP="0065604E">
      <w:pPr>
        <w:pStyle w:val="BodyText"/>
      </w:pPr>
    </w:p>
    <w:p w14:paraId="407CDE89" w14:textId="1951D8CB" w:rsidR="0065604E" w:rsidRDefault="0065604E" w:rsidP="0065604E">
      <w:pPr>
        <w:pStyle w:val="BodyText"/>
      </w:pPr>
      <w:r>
        <w:t>Ren et al. </w:t>
      </w:r>
      <w:r w:rsidR="00B12B81">
        <w:fldChar w:fldCharType="begin" w:fldLock="1"/>
      </w:r>
      <w:r w:rsidR="00185DD6">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B12B81" w:rsidRPr="00B12B81">
        <w:rPr>
          <w:noProof/>
        </w:rPr>
        <w:t>[14]</w:t>
      </w:r>
      <w:r w:rsidR="00B12B81">
        <w:fldChar w:fldCharType="end"/>
      </w:r>
      <w:r w:rsidR="00B12B81">
        <w:t xml:space="preserve"> </w:t>
      </w:r>
      <w:r>
        <w:t xml:space="preserve">shed light on the impact of digital transformation on renewable energy companies’ performance in China, emphasizing the role of digital transformation in advancing the development of renewable energy enterprises. </w:t>
      </w:r>
    </w:p>
    <w:p w14:paraId="11720F1B" w14:textId="64213EEB" w:rsidR="0065604E" w:rsidRDefault="0065604E" w:rsidP="0065604E">
      <w:pPr>
        <w:pStyle w:val="BodyText"/>
      </w:pPr>
      <w:r>
        <w:t>Zhao et al. </w:t>
      </w:r>
      <w:r w:rsidR="00185DD6">
        <w:fldChar w:fldCharType="begin" w:fldLock="1"/>
      </w:r>
      <w:r w:rsidR="00185DD6">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operties":{"noteIndex":0},"schema":"https://github.com/citation-style-language/schema/raw/master/csl-citation.json"}</w:instrText>
      </w:r>
      <w:r w:rsidR="00185DD6">
        <w:fldChar w:fldCharType="separate"/>
      </w:r>
      <w:r w:rsidR="00185DD6" w:rsidRPr="00185DD6">
        <w:rPr>
          <w:noProof/>
        </w:rPr>
        <w:t>[15]</w:t>
      </w:r>
      <w:r w:rsidR="00185DD6">
        <w:fldChar w:fldCharType="end"/>
      </w:r>
      <w:r w:rsidR="00185DD6">
        <w:t xml:space="preserve"> </w:t>
      </w:r>
      <w:r>
        <w:t xml:space="preserve">analyze the relationship between digital transformation strategy and ESG performance in large manufacturing enterprises, focusing on the mediating role of green innovation and sustainable development goals. </w:t>
      </w:r>
    </w:p>
    <w:p w14:paraId="5FBA3069" w14:textId="77777777" w:rsidR="0065604E" w:rsidRDefault="0065604E" w:rsidP="0065604E">
      <w:pPr>
        <w:pStyle w:val="BodyText"/>
      </w:pPr>
      <w: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t>Sartal</w:t>
      </w:r>
      <w:proofErr w:type="spellEnd"/>
      <w:r>
        <w:t xml:space="preserve"> et al., 2020). </w:t>
      </w:r>
    </w:p>
    <w:p w14:paraId="04E00F6E" w14:textId="77777777" w:rsidR="0065604E" w:rsidRDefault="0065604E" w:rsidP="0065604E">
      <w:pPr>
        <w:pStyle w:val="BodyText"/>
      </w:pPr>
    </w:p>
    <w:p w14:paraId="22BC95ED" w14:textId="77777777" w:rsidR="0065604E" w:rsidRDefault="0065604E" w:rsidP="0065604E">
      <w:pPr>
        <w:pStyle w:val="BodyText"/>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37D069F5" w14:textId="77777777" w:rsidR="0065604E" w:rsidRDefault="0065604E" w:rsidP="0065604E">
      <w:pPr>
        <w:pStyle w:val="BodyText"/>
      </w:pPr>
    </w:p>
    <w:p w14:paraId="517DB312" w14:textId="7804B8D6" w:rsidR="0065604E" w:rsidRDefault="0065604E" w:rsidP="0065604E">
      <w:pPr>
        <w:pStyle w:val="Heading1"/>
      </w:pPr>
      <w:r>
        <w:t xml:space="preserve">References </w:t>
      </w:r>
    </w:p>
    <w:p w14:paraId="5E4B95ED" w14:textId="77777777" w:rsidR="0065604E" w:rsidRDefault="0065604E" w:rsidP="0065604E">
      <w:pPr>
        <w:pStyle w:val="BodyText"/>
      </w:pPr>
      <w:r>
        <w:t xml:space="preserve">[1] Antonio </w:t>
      </w:r>
      <w:proofErr w:type="spellStart"/>
      <w:r>
        <w:t>Sartal</w:t>
      </w:r>
      <w:proofErr w:type="spellEnd"/>
      <w:r>
        <w:t xml:space="preserve">; Roberto Bellas; Ana M </w:t>
      </w:r>
      <w:proofErr w:type="spellStart"/>
      <w:r>
        <w:t>Mejías</w:t>
      </w:r>
      <w:proofErr w:type="spellEnd"/>
      <w:r>
        <w:t>; Alberto García-Collado; “The Sustainable Manufacturing Concept, Evolution and Opportunities Within Industry 4.0: A Literature Review”, ADVANCES IN MECHANICAL ENGINEERING, 2020.</w:t>
      </w:r>
    </w:p>
    <w:p w14:paraId="14C37D84" w14:textId="77777777" w:rsidR="0065604E" w:rsidRDefault="0065604E" w:rsidP="0065604E">
      <w:pPr>
        <w:pStyle w:val="BodyText"/>
      </w:pPr>
      <w:r>
        <w:t xml:space="preserve">[2] Maik Dehnert; “Sustaining </w:t>
      </w:r>
      <w:proofErr w:type="gramStart"/>
      <w:r>
        <w:t>The</w:t>
      </w:r>
      <w:proofErr w:type="gramEnd"/>
      <w:r>
        <w:t xml:space="preserve"> Current or Pursuing The New: Incumbent Digital Transformation Strategies in The Financial Service Industry”, BUSINESS RESEARCH, 2020. (IF: 3)</w:t>
      </w:r>
    </w:p>
    <w:p w14:paraId="2AB2F151" w14:textId="77777777" w:rsidR="0065604E" w:rsidRDefault="0065604E" w:rsidP="0065604E">
      <w:pPr>
        <w:pStyle w:val="BodyText"/>
      </w:pPr>
      <w:r>
        <w:t xml:space="preserve">[3] Italo Dourado Affonso; Marcelo Brandão dos Santos; Rodrigo Rodrigues Aragão; Pedro Fonseca Vieira; Filipe Castello Diniz; Breno Augusto Rodrigues; Jackson Luan Queiroz; “Digital Transformation </w:t>
      </w:r>
      <w:proofErr w:type="gramStart"/>
      <w:r>
        <w:t>As</w:t>
      </w:r>
      <w:proofErr w:type="gramEnd"/>
      <w:r>
        <w:t xml:space="preserve"> A Tool for FPSO Project Acceleration”, 2020.</w:t>
      </w:r>
    </w:p>
    <w:p w14:paraId="2DE08B64" w14:textId="77777777" w:rsidR="0065604E" w:rsidRDefault="0065604E" w:rsidP="0065604E">
      <w:pPr>
        <w:pStyle w:val="BodyText"/>
      </w:pPr>
      <w:r>
        <w:t xml:space="preserve">[4] Carlos Llopis-Albert; Francisco Rubio; Francisco Valero; “Impact </w:t>
      </w:r>
      <w:proofErr w:type="gramStart"/>
      <w:r>
        <w:t>Of</w:t>
      </w:r>
      <w:proofErr w:type="gramEnd"/>
      <w:r>
        <w:t xml:space="preserve"> Digital Transformation On The Automotive Industry”, TECHNOLOGICAL FORECASTING AND SOCIAL CHANGE, 2020. (IF: 5)</w:t>
      </w:r>
    </w:p>
    <w:p w14:paraId="1A504270" w14:textId="77777777" w:rsidR="0065604E" w:rsidRDefault="0065604E" w:rsidP="0065604E">
      <w:pPr>
        <w:pStyle w:val="BodyText"/>
      </w:pPr>
      <w:r>
        <w:t xml:space="preserve">[5] Ali Naimi-Sadigh; Tayebeh Asgari; Mohammad </w:t>
      </w:r>
      <w:proofErr w:type="spellStart"/>
      <w:r>
        <w:t>Rabiei</w:t>
      </w:r>
      <w:proofErr w:type="spellEnd"/>
      <w:r>
        <w:t>; “Digital Transformation in The Value Chain Disruption of Banking Services”, JOURNAL OF THE KNOWLEDGE ECONOMY, 2021. (IF: 3)</w:t>
      </w:r>
    </w:p>
    <w:p w14:paraId="141184A1" w14:textId="77777777" w:rsidR="0065604E" w:rsidRDefault="0065604E" w:rsidP="0065604E">
      <w:pPr>
        <w:pStyle w:val="BodyText"/>
      </w:pPr>
      <w:r>
        <w:t xml:space="preserve">[6] Faisal Imran; Khuram Shahzad; </w:t>
      </w:r>
      <w:proofErr w:type="spellStart"/>
      <w:r>
        <w:t>Aurangzeab</w:t>
      </w:r>
      <w:proofErr w:type="spellEnd"/>
      <w:r>
        <w:t xml:space="preserve"> Butt; Jussi Kantola; “Digital Transformation of Industrial Organizations: Toward </w:t>
      </w:r>
      <w:proofErr w:type="gramStart"/>
      <w:r>
        <w:t>An</w:t>
      </w:r>
      <w:proofErr w:type="gramEnd"/>
      <w:r>
        <w:t xml:space="preserve"> Integrated Framework”, JOURNAL OF CHANGE MANAGEMENT, 2021. (IF: 3)</w:t>
      </w:r>
    </w:p>
    <w:p w14:paraId="7F19C1F7" w14:textId="77777777" w:rsidR="0065604E" w:rsidRDefault="0065604E" w:rsidP="0065604E">
      <w:pPr>
        <w:pStyle w:val="BodyText"/>
      </w:pPr>
      <w:r>
        <w:t>[7] S. Manjula; P. Balaji; N. Deepa; A. Vidhyavathi; “Digital Transformation on Food Retail Industries-A Review”, ASIAN JOURNAL OF AGRICULTURAL EXTENSION, ECONOMICS &amp; …, 2021.</w:t>
      </w:r>
    </w:p>
    <w:p w14:paraId="1A332AC0" w14:textId="77777777" w:rsidR="0065604E" w:rsidRDefault="0065604E" w:rsidP="0065604E">
      <w:pPr>
        <w:pStyle w:val="BodyText"/>
      </w:pPr>
      <w:r>
        <w:t>[8] Anil Kumar; Rohit Agrawal; Vishal A Wankhede; Manu Sharma; Eyob Mulat-</w:t>
      </w:r>
      <w:proofErr w:type="spellStart"/>
      <w:r>
        <w:t>weldemeskel</w:t>
      </w:r>
      <w:proofErr w:type="spellEnd"/>
      <w:r>
        <w:t>; “A Framework for Assessing Social Acceptability of Industry 4.0 Technologies for The Development of Digital Manufacturing”, TECHNOLOGICAL FORECASTING AND SOCIAL CHANGE, 2022. (IF: 3)</w:t>
      </w:r>
    </w:p>
    <w:p w14:paraId="37FBD1B4" w14:textId="77777777" w:rsidR="0065604E" w:rsidRDefault="0065604E" w:rsidP="0065604E">
      <w:pPr>
        <w:pStyle w:val="BodyText"/>
      </w:pPr>
      <w:r>
        <w:t xml:space="preserve">[9] </w:t>
      </w:r>
      <w:proofErr w:type="spellStart"/>
      <w:r>
        <w:t>Yangjun</w:t>
      </w:r>
      <w:proofErr w:type="spellEnd"/>
      <w:r>
        <w:t xml:space="preserve"> Ren; </w:t>
      </w:r>
      <w:proofErr w:type="spellStart"/>
      <w:r>
        <w:t>Botang</w:t>
      </w:r>
      <w:proofErr w:type="spellEnd"/>
      <w:r>
        <w:t xml:space="preserve"> Li; Dong Liang; “Impact of Digital Transformation on Renewable Energy Companies’ Performance: Evidence from China”, FRONTIERS IN ENVIRONMENTAL SCIENCE, 2023.</w:t>
      </w:r>
    </w:p>
    <w:p w14:paraId="52A8CAF2" w14:textId="77777777" w:rsidR="0065604E" w:rsidRDefault="0065604E" w:rsidP="0065604E">
      <w:pPr>
        <w:pStyle w:val="BodyText"/>
      </w:pPr>
      <w:r>
        <w:t xml:space="preserve">[10] Qingqing Zhao; </w:t>
      </w:r>
      <w:proofErr w:type="spellStart"/>
      <w:r>
        <w:t>Xintao</w:t>
      </w:r>
      <w:proofErr w:type="spellEnd"/>
      <w:r>
        <w:t xml:space="preserve"> Li; Siqi Li; “Analyzing </w:t>
      </w:r>
      <w:proofErr w:type="gramStart"/>
      <w:r>
        <w:t>The</w:t>
      </w:r>
      <w:proofErr w:type="gramEnd"/>
      <w:r>
        <w:t xml:space="preserve"> Relationship Between Digital Transformation Strategy and ESG Performance in Large Manufacturing Enterprises: The Mediating Role of Green Innovation”, SUSTAINABILITY, 2023.</w:t>
      </w:r>
    </w:p>
    <w:p w14:paraId="307E769D" w14:textId="77777777" w:rsidR="0065604E" w:rsidRDefault="0065604E" w:rsidP="0065604E">
      <w:pPr>
        <w:pStyle w:val="BodyText"/>
      </w:pPr>
      <w:r>
        <w:t>The impact of digital transformation on the cultural and creative industries is multifaceted, presenting both challenges and opportunities. Here are some key points:</w:t>
      </w:r>
    </w:p>
    <w:p w14:paraId="7E99308F" w14:textId="77777777" w:rsidR="0065604E" w:rsidRDefault="0065604E" w:rsidP="0065604E">
      <w:pPr>
        <w:pStyle w:val="Heading3"/>
      </w:pPr>
      <w:bookmarkStart w:id="5" w:name="challenges"/>
      <w:bookmarkEnd w:id="3"/>
      <w:bookmarkEnd w:id="4"/>
      <w:r>
        <w:t>Challenges:</w:t>
      </w:r>
    </w:p>
    <w:p w14:paraId="55E8E1BF" w14:textId="77777777" w:rsidR="0065604E" w:rsidRDefault="0065604E" w:rsidP="0065604E">
      <w:pPr>
        <w:pStyle w:val="Compact"/>
        <w:numPr>
          <w:ilvl w:val="0"/>
          <w:numId w:val="1"/>
        </w:numPr>
      </w:pPr>
      <w:r>
        <w:rPr>
          <w:b/>
          <w:bCs/>
        </w:rPr>
        <w:t>Digital Divide</w:t>
      </w:r>
      <w:r>
        <w:t xml:space="preserve">: The digital divide can hinder access to digital technologies and platforms, creating barriers for those who are less tech-savvy or have limited </w:t>
      </w:r>
      <w:proofErr w:type="gramStart"/>
      <w:r>
        <w:t>resources[</w:t>
      </w:r>
      <w:proofErr w:type="gramEnd"/>
      <w:r>
        <w:t>1][4].</w:t>
      </w:r>
    </w:p>
    <w:p w14:paraId="622949B5" w14:textId="77777777" w:rsidR="0065604E" w:rsidRDefault="0065604E" w:rsidP="0065604E">
      <w:pPr>
        <w:pStyle w:val="Compact"/>
        <w:numPr>
          <w:ilvl w:val="0"/>
          <w:numId w:val="1"/>
        </w:numPr>
      </w:pPr>
      <w:r>
        <w:rPr>
          <w:b/>
          <w:bCs/>
        </w:rPr>
        <w:t>Copyright and Intellectual Property</w:t>
      </w:r>
      <w:r>
        <w:t xml:space="preserve">: The use of digital technologies raises concerns about copyright and intellectual property, particularly in the context of digital assets and data </w:t>
      </w:r>
      <w:proofErr w:type="gramStart"/>
      <w:r>
        <w:t>management[</w:t>
      </w:r>
      <w:proofErr w:type="gramEnd"/>
      <w:r>
        <w:t>2][4].</w:t>
      </w:r>
    </w:p>
    <w:p w14:paraId="64FD7F1E" w14:textId="77777777" w:rsidR="0065604E" w:rsidRDefault="0065604E" w:rsidP="0065604E">
      <w:pPr>
        <w:pStyle w:val="Compact"/>
        <w:numPr>
          <w:ilvl w:val="0"/>
          <w:numId w:val="1"/>
        </w:numPr>
      </w:pPr>
      <w:r>
        <w:rPr>
          <w:b/>
          <w:bCs/>
        </w:rPr>
        <w:t>Preservation of Cultural Heritage</w:t>
      </w:r>
      <w:r>
        <w:t xml:space="preserve">: The digitization of cultural heritage poses challenges related to preservation, conservation, and the long-term accessibility of digital </w:t>
      </w:r>
      <w:proofErr w:type="gramStart"/>
      <w:r>
        <w:t>artifacts[</w:t>
      </w:r>
      <w:proofErr w:type="gramEnd"/>
      <w:r>
        <w:t>1][3].</w:t>
      </w:r>
    </w:p>
    <w:p w14:paraId="6C027DFC" w14:textId="77777777" w:rsidR="0065604E" w:rsidRDefault="0065604E" w:rsidP="0065604E">
      <w:pPr>
        <w:pStyle w:val="Compact"/>
        <w:numPr>
          <w:ilvl w:val="0"/>
          <w:numId w:val="1"/>
        </w:numPr>
      </w:pPr>
      <w:r>
        <w:rPr>
          <w:b/>
          <w:bCs/>
        </w:rPr>
        <w:t>Organizational Barriers</w:t>
      </w:r>
      <w:r>
        <w:t xml:space="preserve">: The adoption of digital tools and processes can be hindered by organizational silos and a lack of understanding of the value of </w:t>
      </w:r>
      <w:proofErr w:type="gramStart"/>
      <w:r>
        <w:t>data[</w:t>
      </w:r>
      <w:proofErr w:type="gramEnd"/>
      <w:r>
        <w:t>2].</w:t>
      </w:r>
    </w:p>
    <w:p w14:paraId="36A80F74" w14:textId="77777777" w:rsidR="0065604E" w:rsidRDefault="0065604E" w:rsidP="0065604E">
      <w:pPr>
        <w:pStyle w:val="Heading3"/>
      </w:pPr>
      <w:bookmarkStart w:id="6" w:name="opportunities"/>
      <w:bookmarkEnd w:id="5"/>
      <w:r>
        <w:t>Opportunities:</w:t>
      </w:r>
    </w:p>
    <w:p w14:paraId="6865A5FC" w14:textId="77777777" w:rsidR="0065604E" w:rsidRDefault="0065604E" w:rsidP="0065604E">
      <w:pPr>
        <w:pStyle w:val="Compact"/>
        <w:numPr>
          <w:ilvl w:val="0"/>
          <w:numId w:val="2"/>
        </w:numPr>
      </w:pPr>
      <w:r>
        <w:rPr>
          <w:b/>
          <w:bCs/>
        </w:rPr>
        <w:t>New Forms of Cultural Expression</w:t>
      </w:r>
      <w:r>
        <w:t xml:space="preserve">: Digital technologies have enabled new forms of artistic expression, such as AR/VR, and have opened up new channels for cultural consumption and </w:t>
      </w:r>
      <w:proofErr w:type="gramStart"/>
      <w:r>
        <w:t>engagement[</w:t>
      </w:r>
      <w:proofErr w:type="gramEnd"/>
      <w:r>
        <w:t>1][2].</w:t>
      </w:r>
    </w:p>
    <w:p w14:paraId="1E9DB460" w14:textId="77777777" w:rsidR="0065604E" w:rsidRDefault="0065604E" w:rsidP="0065604E">
      <w:pPr>
        <w:pStyle w:val="Compact"/>
        <w:numPr>
          <w:ilvl w:val="0"/>
          <w:numId w:val="2"/>
        </w:numPr>
      </w:pPr>
      <w:r>
        <w:rPr>
          <w:b/>
          <w:bCs/>
        </w:rPr>
        <w:t>Increased Accessibility</w:t>
      </w:r>
      <w:r>
        <w:t xml:space="preserve">: Digital platforms have increased access to art and culture, making it more inclusive and </w:t>
      </w:r>
      <w:proofErr w:type="gramStart"/>
      <w:r>
        <w:t>global[</w:t>
      </w:r>
      <w:proofErr w:type="gramEnd"/>
      <w:r>
        <w:t>1].</w:t>
      </w:r>
    </w:p>
    <w:p w14:paraId="231D9C12" w14:textId="77777777" w:rsidR="0065604E" w:rsidRDefault="0065604E" w:rsidP="0065604E">
      <w:pPr>
        <w:pStyle w:val="Compact"/>
        <w:numPr>
          <w:ilvl w:val="0"/>
          <w:numId w:val="2"/>
        </w:numPr>
      </w:pPr>
      <w:r>
        <w:rPr>
          <w:b/>
          <w:bCs/>
        </w:rPr>
        <w:t>Collaboration and Networking</w:t>
      </w:r>
      <w:r>
        <w:t xml:space="preserve">: Digital tools facilitate global collaboration and networking among artists, institutions, and </w:t>
      </w:r>
      <w:proofErr w:type="gramStart"/>
      <w:r>
        <w:t>audiences[</w:t>
      </w:r>
      <w:proofErr w:type="gramEnd"/>
      <w:r>
        <w:t>2][3].</w:t>
      </w:r>
    </w:p>
    <w:p w14:paraId="41F9262C" w14:textId="77777777" w:rsidR="0065604E" w:rsidRDefault="0065604E" w:rsidP="0065604E">
      <w:pPr>
        <w:pStyle w:val="Compact"/>
        <w:numPr>
          <w:ilvl w:val="0"/>
          <w:numId w:val="2"/>
        </w:numPr>
      </w:pPr>
      <w:r>
        <w:rPr>
          <w:b/>
          <w:bCs/>
        </w:rPr>
        <w:t>Efficient Processes</w:t>
      </w:r>
      <w:r>
        <w:t xml:space="preserve">: Digital transformation can streamline administrative processes, reducing errors and improving employee </w:t>
      </w:r>
      <w:proofErr w:type="gramStart"/>
      <w:r>
        <w:t>satisfaction[</w:t>
      </w:r>
      <w:proofErr w:type="gramEnd"/>
      <w:r>
        <w:t>2].</w:t>
      </w:r>
    </w:p>
    <w:p w14:paraId="0E3A3257" w14:textId="77777777" w:rsidR="0065604E" w:rsidRDefault="0065604E" w:rsidP="0065604E">
      <w:pPr>
        <w:pStyle w:val="Heading3"/>
      </w:pPr>
      <w:bookmarkStart w:id="7" w:name="strategies-for-success"/>
      <w:bookmarkEnd w:id="6"/>
      <w:r>
        <w:t>Strategies for Success:</w:t>
      </w:r>
    </w:p>
    <w:p w14:paraId="69A9EA9A" w14:textId="77777777" w:rsidR="0065604E" w:rsidRDefault="0065604E" w:rsidP="0065604E">
      <w:pPr>
        <w:pStyle w:val="Compact"/>
        <w:numPr>
          <w:ilvl w:val="0"/>
          <w:numId w:val="3"/>
        </w:numPr>
      </w:pPr>
      <w:r>
        <w:rPr>
          <w:b/>
          <w:bCs/>
        </w:rPr>
        <w:t>Data Interoperability</w:t>
      </w:r>
      <w:r>
        <w:t xml:space="preserve">: Ensuring data interoperability is crucial for seamless end-to-end processes and for addressing copyright and intellectual property </w:t>
      </w:r>
      <w:proofErr w:type="gramStart"/>
      <w:r>
        <w:t>concerns[</w:t>
      </w:r>
      <w:proofErr w:type="gramEnd"/>
      <w:r>
        <w:t>4].</w:t>
      </w:r>
    </w:p>
    <w:p w14:paraId="3699FC39" w14:textId="77777777" w:rsidR="0065604E" w:rsidRDefault="0065604E" w:rsidP="0065604E">
      <w:pPr>
        <w:pStyle w:val="Compact"/>
        <w:numPr>
          <w:ilvl w:val="0"/>
          <w:numId w:val="3"/>
        </w:numPr>
      </w:pPr>
      <w:r>
        <w:rPr>
          <w:b/>
          <w:bCs/>
        </w:rPr>
        <w:t>Digital Literacy</w:t>
      </w:r>
      <w:r>
        <w:t xml:space="preserve">: Developing digital literacy among artists, institutions, and audiences is essential for effective adoption and utilization of digital </w:t>
      </w:r>
      <w:proofErr w:type="gramStart"/>
      <w:r>
        <w:t>technologies[</w:t>
      </w:r>
      <w:proofErr w:type="gramEnd"/>
      <w:r>
        <w:t>2][4].</w:t>
      </w:r>
    </w:p>
    <w:p w14:paraId="4C6DEE39" w14:textId="77777777" w:rsidR="0065604E" w:rsidRDefault="0065604E" w:rsidP="0065604E">
      <w:pPr>
        <w:pStyle w:val="Compact"/>
        <w:numPr>
          <w:ilvl w:val="0"/>
          <w:numId w:val="3"/>
        </w:numPr>
      </w:pPr>
      <w:r>
        <w:rPr>
          <w:b/>
          <w:bCs/>
        </w:rPr>
        <w:t>Collaborative Ecosystems</w:t>
      </w:r>
      <w:r>
        <w:t xml:space="preserve">: Fostering collaborative ecosystems between tech startups and creative sectors can facilitate knowledge exchange and </w:t>
      </w:r>
      <w:proofErr w:type="gramStart"/>
      <w:r>
        <w:t>innovation[</w:t>
      </w:r>
      <w:proofErr w:type="gramEnd"/>
      <w:r>
        <w:t>4].</w:t>
      </w:r>
    </w:p>
    <w:p w14:paraId="3058E08B" w14:textId="77777777" w:rsidR="0065604E" w:rsidRDefault="0065604E" w:rsidP="0065604E">
      <w:pPr>
        <w:pStyle w:val="Compact"/>
        <w:numPr>
          <w:ilvl w:val="0"/>
          <w:numId w:val="3"/>
        </w:numPr>
      </w:pPr>
      <w:r>
        <w:rPr>
          <w:b/>
          <w:bCs/>
        </w:rPr>
        <w:t>Digital Sovereignty</w:t>
      </w:r>
      <w:r>
        <w:t xml:space="preserve">: Establishing digital sovereignty through strategic policies and regulations can ensure the long-term sustainability and accessibility of digital cultural </w:t>
      </w:r>
      <w:proofErr w:type="gramStart"/>
      <w:r>
        <w:t>assets[</w:t>
      </w:r>
      <w:proofErr w:type="gramEnd"/>
      <w:r>
        <w:t>5].</w:t>
      </w:r>
    </w:p>
    <w:p w14:paraId="5CAAF42F" w14:textId="77777777" w:rsidR="0065604E" w:rsidRDefault="0065604E" w:rsidP="0065604E">
      <w:pPr>
        <w:pStyle w:val="FirstParagrap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2566980D" w14:textId="77777777" w:rsidR="0065604E" w:rsidRDefault="0065604E" w:rsidP="0065604E">
      <w:pPr>
        <w:pStyle w:val="BodyText"/>
      </w:pPr>
      <w:r>
        <w:t>Citations:</w:t>
      </w:r>
    </w:p>
    <w:p w14:paraId="6BE3F08E" w14:textId="77777777" w:rsidR="0065604E" w:rsidRDefault="0065604E" w:rsidP="0065604E">
      <w:pPr>
        <w:pStyle w:val="BodyText"/>
      </w:pPr>
      <w:r>
        <w:t>[1] Digital transformation in culture and art: Exploring the challenges, opportunities and implications in cultural studies (https://royalliteglobal.com/advanced-humanities/article/view/1236)</w:t>
      </w:r>
    </w:p>
    <w:p w14:paraId="22905C84" w14:textId="77777777" w:rsidR="0065604E" w:rsidRDefault="0065604E" w:rsidP="0065604E">
      <w:pPr>
        <w:pStyle w:val="BodyText"/>
      </w:pPr>
      <w:r>
        <w:t>[2] Digital Culture and Creative Industries https://www.valantic.com/en/industries/creative-industry/</w:t>
      </w:r>
    </w:p>
    <w:p w14:paraId="173A0135" w14:textId="77777777" w:rsidR="0065604E" w:rsidRDefault="0065604E" w:rsidP="0065604E">
      <w:pPr>
        <w:pStyle w:val="BodyText"/>
      </w:pPr>
      <w:r>
        <w:t xml:space="preserve">[3] </w:t>
      </w:r>
      <w:proofErr w:type="spellStart"/>
      <w:r>
        <w:t>hDigital</w:t>
      </w:r>
      <w:proofErr w:type="spellEnd"/>
      <w:r>
        <w:t xml:space="preserve"> Transformation in the Cultural and Creative Industries, Production, Consumption and Entrepreneurship in the Digital and Sharing Economy ttps://www.routledge.com/Digital-Transformation-in-the-Cultural-and-Creative-Industries-Production-Consumption-and-Entrepreneurship-in-the-Digital-and-Sharing-Economy/Massi-Vecco-Lin/p/book/9780367351168</w:t>
      </w:r>
    </w:p>
    <w:p w14:paraId="274D0C26" w14:textId="77777777" w:rsidR="0065604E" w:rsidRDefault="0065604E" w:rsidP="0065604E">
      <w:pPr>
        <w:pStyle w:val="BodyText"/>
      </w:pPr>
      <w:r>
        <w:t>[4] Commission publishes two studies to map the challenges and opportunities for cultural and creative sectors in the digital decade https://digital-strategy.ec.europa.eu/en/news/commission-publishes-two-studies-map-challenges-and-opportunities-cultural-and-creative-sectors</w:t>
      </w:r>
    </w:p>
    <w:p w14:paraId="51D7C2A1" w14:textId="77777777" w:rsidR="0065604E" w:rsidRDefault="0065604E" w:rsidP="0065604E">
      <w:pPr>
        <w:pStyle w:val="BodyText"/>
      </w:pPr>
      <w:r>
        <w:t>[5] DIGITAL TRANSFORMATION. IN THE CULTURAL AND CREATIVE. SECTORS AND INDUSTRIES. https://www.euskadi.eus/contenidos/noticia/keb_argit_23_eraldaketa_digita/es_def/adjuntos/KEB-OVC_2023_Digital-Transformation.-Executive-Summary.pdf</w:t>
      </w:r>
    </w:p>
    <w:p w14:paraId="5D527680" w14:textId="77777777" w:rsidR="0065604E" w:rsidRDefault="0065604E" w:rsidP="0065604E">
      <w:pPr>
        <w:pStyle w:val="Heading3"/>
      </w:pPr>
      <w:bookmarkStart w:id="8" w:name="abstract"/>
      <w:bookmarkEnd w:id="7"/>
      <w:r>
        <w:t>Abstract</w:t>
      </w:r>
    </w:p>
    <w:p w14:paraId="3F98E870" w14:textId="77777777" w:rsidR="0065604E" w:rsidRDefault="0065604E" w:rsidP="0065604E">
      <w:pPr>
        <w:pStyle w:val="Heading4"/>
      </w:pPr>
      <w:bookmarkStart w:id="9" w:name="introduction"/>
      <w:r>
        <w:t>Introduction</w:t>
      </w:r>
    </w:p>
    <w:p w14:paraId="6819E5A7" w14:textId="77777777" w:rsidR="0065604E" w:rsidRDefault="0065604E" w:rsidP="0065604E">
      <w:pPr>
        <w:pStyle w:val="FirstParagrap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448C371F" w14:textId="77777777" w:rsidR="0065604E" w:rsidRDefault="0065604E" w:rsidP="0065604E">
      <w:pPr>
        <w:pStyle w:val="Heading4"/>
      </w:pPr>
      <w:bookmarkStart w:id="10" w:name="background"/>
      <w:bookmarkEnd w:id="9"/>
      <w:r>
        <w:t>Background</w:t>
      </w:r>
    </w:p>
    <w:p w14:paraId="522B78FA" w14:textId="77777777" w:rsidR="0065604E" w:rsidRDefault="0065604E" w:rsidP="0065604E">
      <w:pPr>
        <w:pStyle w:val="FirstParagraph"/>
      </w:pPr>
      <w:r>
        <w:t>Digital transformation refers to the integration of digital technology into all areas of a business, fundamentally changing how it operates and delivers value to customers. In the cultural industry, this transformation has led to new forms of artistic expression, expanded audience reach, and innovative business models. Despite these advances, the industry faces significant challenges such as digital divide, intellectual property issues, and the need for new skill sets.</w:t>
      </w:r>
    </w:p>
    <w:p w14:paraId="68CCEB0E" w14:textId="77777777" w:rsidR="0065604E" w:rsidRDefault="0065604E" w:rsidP="0065604E">
      <w:pPr>
        <w:pStyle w:val="Heading4"/>
      </w:pPr>
      <w:bookmarkStart w:id="11" w:name="problem-statement"/>
      <w:bookmarkEnd w:id="10"/>
      <w:r>
        <w:t>Problem Statement</w:t>
      </w:r>
    </w:p>
    <w:p w14:paraId="186268EE" w14:textId="77777777" w:rsidR="0065604E" w:rsidRDefault="0065604E" w:rsidP="0065604E">
      <w:pPr>
        <w:pStyle w:val="FirstParagrap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12603B12" w14:textId="77777777" w:rsidR="0065604E" w:rsidRDefault="0065604E" w:rsidP="0065604E">
      <w:pPr>
        <w:pStyle w:val="Heading4"/>
      </w:pPr>
      <w:bookmarkStart w:id="12" w:name="literature-review"/>
      <w:bookmarkEnd w:id="11"/>
      <w:r>
        <w:t>Literature Review</w:t>
      </w:r>
    </w:p>
    <w:p w14:paraId="10C6D565" w14:textId="77777777" w:rsidR="0065604E" w:rsidRDefault="0065604E" w:rsidP="0065604E">
      <w:pPr>
        <w:pStyle w:val="FirstParagraph"/>
      </w:pPr>
      <w:r>
        <w:t>Recent studies have highlighted various dimensions of digital transformation in the cultural sector. For instance, Wyman et al. (2020) discuss the role of digital platforms in expanding cultural accessibility, while Smith (2019) examines the economic impacts of digital distribution channels on traditional cultural venues. However, there is a gap in comprehensive studies that integrate performance metrics with digital transformation outcomes, particularly in the context of the cultural industry.</w:t>
      </w:r>
    </w:p>
    <w:p w14:paraId="36F52B7B" w14:textId="77777777" w:rsidR="0065604E" w:rsidRDefault="0065604E" w:rsidP="0065604E">
      <w:pPr>
        <w:pStyle w:val="Heading4"/>
      </w:pPr>
      <w:bookmarkStart w:id="13" w:name="significance"/>
      <w:bookmarkEnd w:id="12"/>
      <w:r>
        <w:t>Significance</w:t>
      </w:r>
    </w:p>
    <w:p w14:paraId="7691D277" w14:textId="77777777" w:rsidR="0065604E" w:rsidRDefault="0065604E" w:rsidP="0065604E">
      <w:pPr>
        <w:pStyle w:val="FirstParagrap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534415B1" w14:textId="77777777" w:rsidR="0065604E" w:rsidRDefault="0065604E" w:rsidP="0065604E">
      <w:pPr>
        <w:pStyle w:val="Heading4"/>
      </w:pPr>
      <w:bookmarkStart w:id="14" w:name="gap-in-literature"/>
      <w:bookmarkEnd w:id="13"/>
      <w:r>
        <w:t>Gap in Literature</w:t>
      </w:r>
    </w:p>
    <w:p w14:paraId="760107E1" w14:textId="77777777" w:rsidR="0065604E" w:rsidRDefault="0065604E" w:rsidP="0065604E">
      <w:pPr>
        <w:pStyle w:val="FirstParagrap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2098481D" w14:textId="77777777" w:rsidR="0065604E" w:rsidRDefault="0065604E" w:rsidP="0065604E">
      <w:pPr>
        <w:pStyle w:val="Heading4"/>
      </w:pPr>
      <w:bookmarkStart w:id="15" w:name="methodology-preview"/>
      <w:bookmarkEnd w:id="14"/>
      <w:r>
        <w:t>Methodology Preview</w:t>
      </w:r>
    </w:p>
    <w:p w14:paraId="0D13404D" w14:textId="77777777" w:rsidR="0065604E" w:rsidRDefault="0065604E" w:rsidP="0065604E">
      <w:pPr>
        <w:pStyle w:val="FirstParagrap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3696938E" w14:textId="77777777" w:rsidR="0065604E" w:rsidRDefault="0065604E" w:rsidP="0065604E">
      <w:pPr>
        <w:pStyle w:val="Heading4"/>
      </w:pPr>
      <w:bookmarkStart w:id="16" w:name="outline-of-contribution"/>
      <w:bookmarkEnd w:id="15"/>
      <w:r>
        <w:t>Outline of Contribution</w:t>
      </w:r>
    </w:p>
    <w:p w14:paraId="49A7704C" w14:textId="77777777" w:rsidR="0065604E" w:rsidRDefault="0065604E" w:rsidP="0065604E">
      <w:pPr>
        <w:pStyle w:val="FirstParagrap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44624C3D" w14:textId="3B58A296" w:rsidR="00185DD6" w:rsidRPr="00185DD6" w:rsidRDefault="0065604E" w:rsidP="00185DD6">
      <w:pPr>
        <w:widowControl w:val="0"/>
        <w:autoSpaceDE w:val="0"/>
        <w:autoSpaceDN w:val="0"/>
        <w:adjustRightInd w:val="0"/>
        <w:spacing w:before="180" w:after="180"/>
        <w:ind w:left="640" w:hanging="640"/>
        <w:rPr>
          <w:rFonts w:ascii="Aptos" w:hAnsi="Aptos"/>
          <w:noProof/>
        </w:rPr>
      </w:pPr>
      <w:r>
        <w:fldChar w:fldCharType="begin" w:fldLock="1"/>
      </w:r>
      <w:r>
        <w:instrText xml:space="preserve">ADDIN Mendeley Bibliography CSL_BIBLIOGRAPHY </w:instrText>
      </w:r>
      <w:r>
        <w:fldChar w:fldCharType="separate"/>
      </w:r>
      <w:r w:rsidR="00185DD6" w:rsidRPr="00185DD6">
        <w:rPr>
          <w:rFonts w:ascii="Aptos" w:hAnsi="Aptos"/>
          <w:noProof/>
        </w:rPr>
        <w:t>[1]</w:t>
      </w:r>
      <w:r w:rsidR="00185DD6" w:rsidRPr="00185DD6">
        <w:rPr>
          <w:rFonts w:ascii="Aptos" w:hAnsi="Aptos"/>
          <w:noProof/>
        </w:rPr>
        <w:tab/>
        <w:t>“Culture | UNESCO.” Accessed: Jun. 19, 2024. [Online]. Available: https://www.unesco.org/en/culture</w:t>
      </w:r>
    </w:p>
    <w:p w14:paraId="0A1387A5"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[2]</w:t>
      </w:r>
      <w:r w:rsidRPr="00185DD6">
        <w:rPr>
          <w:rFonts w:ascii="Aptos" w:hAnsi="Aptos"/>
          <w:noProof/>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2A47835C"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[3]</w:t>
      </w:r>
      <w:r w:rsidRPr="00185DD6">
        <w:rPr>
          <w:rFonts w:ascii="Aptos" w:hAnsi="Aptos"/>
          <w:noProof/>
        </w:rPr>
        <w:tab/>
        <w:t xml:space="preserve">D. Hesmondhalgh and A. C. Pratt, “Cultural industries and cultural policy,” </w:t>
      </w:r>
      <w:r w:rsidRPr="00185DD6">
        <w:rPr>
          <w:rFonts w:ascii="Aptos" w:hAnsi="Aptos"/>
          <w:i/>
          <w:iCs/>
          <w:noProof/>
        </w:rPr>
        <w:t>Int. J. Cult. Policy</w:t>
      </w:r>
      <w:r w:rsidRPr="00185DD6">
        <w:rPr>
          <w:rFonts w:ascii="Aptos" w:hAnsi="Aptos"/>
          <w:noProof/>
        </w:rPr>
        <w:t>, vol. 11, no. 1, pp. 1–13, Mar. 2005, doi: 10.1080/10286630500067598.</w:t>
      </w:r>
    </w:p>
    <w:p w14:paraId="14871FAA"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[4]</w:t>
      </w:r>
      <w:r w:rsidRPr="00185DD6">
        <w:rPr>
          <w:rFonts w:ascii="Aptos" w:hAnsi="Aptos"/>
          <w:noProof/>
        </w:rPr>
        <w:tab/>
        <w:t>“Digital transformation 1,” Shamiya Mirzagayeva,  Heydar Aslanov. Accessed: Jun. 19, 2024. [Online]. Available: https://web.archive.org/web/20221112173332/https://metafizikajurnali.az/storage/images/site/files/Metafizika-20/Metafizika.Vol.5,No.4,Serial.20,pp.10-21.pdf</w:t>
      </w:r>
    </w:p>
    <w:p w14:paraId="1ED67BED"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[5]</w:t>
      </w:r>
      <w:r w:rsidRPr="00185DD6">
        <w:rPr>
          <w:rFonts w:ascii="Aptos" w:hAnsi="Aptos"/>
          <w:noProof/>
        </w:rPr>
        <w:tab/>
        <w:t xml:space="preserve">G. Vial, “Understanding digital transformation: A review and a research agenda,” </w:t>
      </w:r>
      <w:r w:rsidRPr="00185DD6">
        <w:rPr>
          <w:rFonts w:ascii="Aptos" w:hAnsi="Aptos"/>
          <w:i/>
          <w:iCs/>
          <w:noProof/>
        </w:rPr>
        <w:t>J. Strateg. Inf. Syst.</w:t>
      </w:r>
      <w:r w:rsidRPr="00185DD6">
        <w:rPr>
          <w:rFonts w:ascii="Aptos" w:hAnsi="Aptos"/>
          <w:noProof/>
        </w:rPr>
        <w:t>, vol. 28, no. 2, pp. 118–144, Jun. 2019, doi: 10.1016/J.JSIS.2019.01.003.</w:t>
      </w:r>
    </w:p>
    <w:p w14:paraId="255CEB4C"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[6]</w:t>
      </w:r>
      <w:r w:rsidRPr="00185DD6">
        <w:rPr>
          <w:rFonts w:ascii="Aptos" w:hAnsi="Aptos"/>
          <w:noProof/>
        </w:rPr>
        <w:tab/>
        <w:t xml:space="preserve">K. S. R. Warner and M. Wäger, “Building dynamic capabilities for digital transformation: An ongoing process of strategic renewal,” </w:t>
      </w:r>
      <w:r w:rsidRPr="00185DD6">
        <w:rPr>
          <w:rFonts w:ascii="Aptos" w:hAnsi="Aptos"/>
          <w:i/>
          <w:iCs/>
          <w:noProof/>
        </w:rPr>
        <w:t>Long Range Plann.</w:t>
      </w:r>
      <w:r w:rsidRPr="00185DD6">
        <w:rPr>
          <w:rFonts w:ascii="Aptos" w:hAnsi="Aptos"/>
          <w:noProof/>
        </w:rPr>
        <w:t>, vol. 52, no. 3, pp. 326–349, Jun. 2019, doi: 10.1016/J.LRP.2018.12.001.</w:t>
      </w:r>
    </w:p>
    <w:p w14:paraId="78BB7EEC"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[7]</w:t>
      </w:r>
      <w:r w:rsidRPr="00185DD6">
        <w:rPr>
          <w:rFonts w:ascii="Aptos" w:hAnsi="Aptos"/>
          <w:noProof/>
        </w:rPr>
        <w:tab/>
        <w:t>M. Dehnert, “Sustaining the current or pursuing the new: incumbent digital transformation strategies in the financial service industry A configurational perspective on firm performance”, doi: 10.1007/s40685-020-00136-8.</w:t>
      </w:r>
    </w:p>
    <w:p w14:paraId="4C012C67"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[8]</w:t>
      </w:r>
      <w:r w:rsidRPr="00185DD6">
        <w:rPr>
          <w:rFonts w:ascii="Aptos" w:hAnsi="Aptos"/>
          <w:noProof/>
        </w:rPr>
        <w:tab/>
        <w:t xml:space="preserve">I. D. Affonso </w:t>
      </w:r>
      <w:r w:rsidRPr="00185DD6">
        <w:rPr>
          <w:rFonts w:ascii="Aptos" w:hAnsi="Aptos"/>
          <w:i/>
          <w:iCs/>
          <w:noProof/>
        </w:rPr>
        <w:t>et al.</w:t>
      </w:r>
      <w:r w:rsidRPr="00185DD6">
        <w:rPr>
          <w:rFonts w:ascii="Aptos" w:hAnsi="Aptos"/>
          <w:noProof/>
        </w:rPr>
        <w:t xml:space="preserve">, “Digital Transformation as a Tool for FPSO Project Acceleration,” </w:t>
      </w:r>
      <w:r w:rsidRPr="00185DD6">
        <w:rPr>
          <w:rFonts w:ascii="Aptos" w:hAnsi="Aptos"/>
          <w:i/>
          <w:iCs/>
          <w:noProof/>
        </w:rPr>
        <w:t>Proc. Annu. Offshore Technol. Conf.</w:t>
      </w:r>
      <w:r w:rsidRPr="00185DD6">
        <w:rPr>
          <w:rFonts w:ascii="Aptos" w:hAnsi="Aptos"/>
          <w:noProof/>
        </w:rPr>
        <w:t>, vol. 2020-May, May 2020, doi: 10.4043/30480-MS.</w:t>
      </w:r>
    </w:p>
    <w:p w14:paraId="6411513E"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[9]</w:t>
      </w:r>
      <w:r w:rsidRPr="00185DD6">
        <w:rPr>
          <w:rFonts w:ascii="Aptos" w:hAnsi="Aptos"/>
          <w:noProof/>
        </w:rPr>
        <w:tab/>
        <w:t xml:space="preserve">C. Llopis-Albert, F. Rubio, and F. Valero, “Impact of digital transformation on the automotive industry,” </w:t>
      </w:r>
      <w:r w:rsidRPr="00185DD6">
        <w:rPr>
          <w:rFonts w:ascii="Aptos" w:hAnsi="Aptos"/>
          <w:i/>
          <w:iCs/>
          <w:noProof/>
        </w:rPr>
        <w:t>Technol. Forecast. Soc. Change</w:t>
      </w:r>
      <w:r w:rsidRPr="00185DD6">
        <w:rPr>
          <w:rFonts w:ascii="Aptos" w:hAnsi="Aptos"/>
          <w:noProof/>
        </w:rPr>
        <w:t>, vol. 162, p. 120343, Jan. 2021, doi: 10.1016/J.TECHFORE.2020.120343.</w:t>
      </w:r>
    </w:p>
    <w:p w14:paraId="0766B1F6"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[10]</w:t>
      </w:r>
      <w:r w:rsidRPr="00185DD6">
        <w:rPr>
          <w:rFonts w:ascii="Aptos" w:hAnsi="Aptos"/>
          <w:noProof/>
        </w:rPr>
        <w:tab/>
        <w:t xml:space="preserve">A. Naimi-Sadigh, T. Asgari, and M. Rabiei, “Digital Transformation in the Value Chain Disruption of Banking Services,” </w:t>
      </w:r>
      <w:r w:rsidRPr="00185DD6">
        <w:rPr>
          <w:rFonts w:ascii="Aptos" w:hAnsi="Aptos"/>
          <w:i/>
          <w:iCs/>
          <w:noProof/>
        </w:rPr>
        <w:t>J. Knowl. Econ.</w:t>
      </w:r>
      <w:r w:rsidRPr="00185DD6">
        <w:rPr>
          <w:rFonts w:ascii="Aptos" w:hAnsi="Aptos"/>
          <w:noProof/>
        </w:rPr>
        <w:t>, vol. 13, no. 2, pp. 1212–1242, Jun. 2022, doi: 10.1007/S13132-021-00759-0.</w:t>
      </w:r>
    </w:p>
    <w:p w14:paraId="09C5D634"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[11]</w:t>
      </w:r>
      <w:r w:rsidRPr="00185DD6">
        <w:rPr>
          <w:rFonts w:ascii="Aptos" w:hAnsi="Aptos"/>
          <w:noProof/>
        </w:rPr>
        <w:tab/>
        <w:t xml:space="preserve">S. Manjula, P. Balaji, and N. Deepa, “) Sazelin Arif, Universiti Teknikal Malaysia Melaka (UTeM), Malaysia. (3) Arjun Prasad Khanal,” </w:t>
      </w:r>
      <w:r w:rsidRPr="00185DD6">
        <w:rPr>
          <w:rFonts w:ascii="Aptos" w:hAnsi="Aptos"/>
          <w:i/>
          <w:iCs/>
          <w:noProof/>
        </w:rPr>
        <w:t>Nepal. Rev. Artic. Manjula al</w:t>
      </w:r>
      <w:r w:rsidRPr="00185DD6">
        <w:rPr>
          <w:rFonts w:ascii="Aptos" w:hAnsi="Aptos"/>
          <w:noProof/>
        </w:rPr>
        <w:t>, no. 1, pp. 88–101, 2021, doi: 10.9734/AJAEES/2021/v39i1130729.</w:t>
      </w:r>
    </w:p>
    <w:p w14:paraId="05B74656"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[12]</w:t>
      </w:r>
      <w:r w:rsidRPr="00185DD6">
        <w:rPr>
          <w:rFonts w:ascii="Aptos" w:hAnsi="Aptos"/>
          <w:noProof/>
        </w:rPr>
        <w:tab/>
        <w:t>F. Imran, K. Shahzad, A. Butt, and J. Kantola, “Journal of Change Management Reframing Leadership and Organizational Practice Digital Transformation of Industrial Organizations: Toward an Integrated Framework,” 2021, doi: 10.1080/14697017.2021.1929406.</w:t>
      </w:r>
    </w:p>
    <w:p w14:paraId="6312029E"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[13]</w:t>
      </w:r>
      <w:r w:rsidRPr="00185DD6">
        <w:rPr>
          <w:rFonts w:ascii="Aptos" w:hAnsi="Aptos"/>
          <w:noProof/>
        </w:rPr>
        <w:tab/>
        <w:t xml:space="preserve">A. Kumar, R. Agrawal, V. A. Wankhede, M. Sharma, and E. Mulat-weldemeskel, “A framework for assessing social acceptability of industry 4.0 technologies for the development of digital manufacturing,” </w:t>
      </w:r>
      <w:r w:rsidRPr="00185DD6">
        <w:rPr>
          <w:rFonts w:ascii="Aptos" w:hAnsi="Aptos"/>
          <w:i/>
          <w:iCs/>
          <w:noProof/>
        </w:rPr>
        <w:t>Technol. Forecast. Soc. Change</w:t>
      </w:r>
      <w:r w:rsidRPr="00185DD6">
        <w:rPr>
          <w:rFonts w:ascii="Aptos" w:hAnsi="Aptos"/>
          <w:noProof/>
        </w:rPr>
        <w:t>, vol. 174, p. 121217, Jan. 2022, doi: 10.1016/J.TECHFORE.2021.121217.</w:t>
      </w:r>
    </w:p>
    <w:p w14:paraId="44FB5C23"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[14]</w:t>
      </w:r>
      <w:r w:rsidRPr="00185DD6">
        <w:rPr>
          <w:rFonts w:ascii="Aptos" w:hAnsi="Aptos"/>
          <w:noProof/>
        </w:rPr>
        <w:tab/>
        <w:t xml:space="preserve">Y. Ren, B. Li, and D. Liang, “Impact of digital transformation on renewable energy companies’ performance: Evidence from China,” </w:t>
      </w:r>
      <w:r w:rsidRPr="00185DD6">
        <w:rPr>
          <w:rFonts w:ascii="Aptos" w:hAnsi="Aptos"/>
          <w:i/>
          <w:iCs/>
          <w:noProof/>
        </w:rPr>
        <w:t>Front. Environ. Sci.</w:t>
      </w:r>
      <w:r w:rsidRPr="00185DD6">
        <w:rPr>
          <w:rFonts w:ascii="Aptos" w:hAnsi="Aptos"/>
          <w:noProof/>
        </w:rPr>
        <w:t>, vol. 10, Jan. 2023, doi: 10.3389/FENVS.2022.1105686.</w:t>
      </w:r>
    </w:p>
    <w:p w14:paraId="7A0A8467" w14:textId="77777777" w:rsidR="00185DD6" w:rsidRPr="00185DD6" w:rsidRDefault="00185DD6" w:rsidP="00185DD6">
      <w:pPr>
        <w:widowControl w:val="0"/>
        <w:autoSpaceDE w:val="0"/>
        <w:autoSpaceDN w:val="0"/>
        <w:adjustRightInd w:val="0"/>
        <w:spacing w:before="180" w:after="180"/>
        <w:ind w:left="640" w:hanging="640"/>
        <w:rPr>
          <w:rFonts w:ascii="Aptos" w:hAnsi="Aptos"/>
          <w:noProof/>
        </w:rPr>
      </w:pPr>
      <w:r w:rsidRPr="00185DD6">
        <w:rPr>
          <w:rFonts w:ascii="Aptos" w:hAnsi="Aptos"/>
          <w:noProof/>
        </w:rPr>
        <w:t>[15]</w:t>
      </w:r>
      <w:r w:rsidRPr="00185DD6">
        <w:rPr>
          <w:rFonts w:ascii="Aptos" w:hAnsi="Aptos"/>
          <w:noProof/>
        </w:rPr>
        <w:tab/>
        <w:t>Q.</w:t>
      </w:r>
      <w:r w:rsidRPr="00185DD6">
        <w:rPr>
          <w:rFonts w:ascii="Arial" w:hAnsi="Arial" w:cs="Arial"/>
          <w:noProof/>
        </w:rPr>
        <w:t> </w:t>
      </w:r>
      <w:r w:rsidRPr="00185DD6">
        <w:rPr>
          <w:rFonts w:ascii="Aptos" w:hAnsi="Aptos"/>
          <w:noProof/>
        </w:rPr>
        <w:t xml:space="preserve">; Zhao </w:t>
      </w:r>
      <w:r w:rsidRPr="00185DD6">
        <w:rPr>
          <w:rFonts w:ascii="Aptos" w:hAnsi="Aptos"/>
          <w:i/>
          <w:iCs/>
          <w:noProof/>
        </w:rPr>
        <w:t>et al.</w:t>
      </w:r>
      <w:r w:rsidRPr="00185DD6">
        <w:rPr>
          <w:rFonts w:ascii="Aptos" w:hAnsi="Aptos"/>
          <w:noProof/>
        </w:rPr>
        <w:t xml:space="preserve">, “Analyzing the Relationship between Digital Transformation Strategy and ESG Performance in Large Manufacturing Enterprises: The Mediating Role of Green Innovation,” </w:t>
      </w:r>
      <w:r w:rsidRPr="00185DD6">
        <w:rPr>
          <w:rFonts w:ascii="Aptos" w:hAnsi="Aptos"/>
          <w:i/>
          <w:iCs/>
          <w:noProof/>
        </w:rPr>
        <w:t>Sustain. 2023, Vol. 15, Page 9998</w:t>
      </w:r>
      <w:r w:rsidRPr="00185DD6">
        <w:rPr>
          <w:rFonts w:ascii="Aptos" w:hAnsi="Aptos"/>
          <w:noProof/>
        </w:rPr>
        <w:t>, vol. 15, no. 13, p. 9998, Jun. 2023, doi: 10.3390/SU15139998.</w:t>
      </w:r>
    </w:p>
    <w:p w14:paraId="57DC3064" w14:textId="77777777" w:rsidR="0065604E" w:rsidRPr="001311F6" w:rsidRDefault="0065604E" w:rsidP="0065604E">
      <w:pPr>
        <w:pStyle w:val="BodyText"/>
      </w:pPr>
      <w:r>
        <w:fldChar w:fldCharType="end"/>
      </w:r>
      <w:bookmarkEnd w:id="1"/>
      <w:bookmarkEnd w:id="2"/>
      <w:bookmarkEnd w:id="8"/>
      <w:bookmarkEnd w:id="16"/>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185DD6"/>
    <w:rsid w:val="001B027B"/>
    <w:rsid w:val="0065604E"/>
    <w:rsid w:val="007208D2"/>
    <w:rsid w:val="008A1D74"/>
    <w:rsid w:val="00B12B81"/>
    <w:rsid w:val="00C95029"/>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4E"/>
    <w:pPr>
      <w:spacing w:after="0" w:line="240" w:lineRule="auto"/>
    </w:pPr>
    <w:rPr>
      <w:rFonts w:eastAsiaTheme="minorEastAsia" w:cs="Times New Roman"/>
      <w:kern w:val="0"/>
      <w14:ligatures w14:val="none"/>
    </w:rPr>
  </w:style>
  <w:style w:type="paragraph" w:styleId="Heading1">
    <w:name w:val="heading 1"/>
    <w:basedOn w:val="Normal"/>
    <w:next w:val="Normal"/>
    <w:link w:val="Heading1Char"/>
    <w:uiPriority w:val="9"/>
    <w:qFormat/>
    <w:rsid w:val="00656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6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0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0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0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0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6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04E"/>
    <w:rPr>
      <w:rFonts w:eastAsiaTheme="majorEastAsia" w:cstheme="majorBidi"/>
      <w:color w:val="272727" w:themeColor="text1" w:themeTint="D8"/>
    </w:rPr>
  </w:style>
  <w:style w:type="paragraph" w:styleId="Title">
    <w:name w:val="Title"/>
    <w:basedOn w:val="Normal"/>
    <w:next w:val="Normal"/>
    <w:link w:val="TitleChar"/>
    <w:uiPriority w:val="10"/>
    <w:qFormat/>
    <w:rsid w:val="006560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04E"/>
    <w:pPr>
      <w:spacing w:before="160"/>
      <w:jc w:val="center"/>
    </w:pPr>
    <w:rPr>
      <w:i/>
      <w:iCs/>
      <w:color w:val="404040" w:themeColor="text1" w:themeTint="BF"/>
    </w:rPr>
  </w:style>
  <w:style w:type="character" w:customStyle="1" w:styleId="QuoteChar">
    <w:name w:val="Quote Char"/>
    <w:basedOn w:val="DefaultParagraphFont"/>
    <w:link w:val="Quote"/>
    <w:uiPriority w:val="29"/>
    <w:rsid w:val="0065604E"/>
    <w:rPr>
      <w:i/>
      <w:iCs/>
      <w:color w:val="404040" w:themeColor="text1" w:themeTint="BF"/>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65604E"/>
    <w:rPr>
      <w:i/>
      <w:iCs/>
      <w:color w:val="0F4761" w:themeColor="accent1" w:themeShade="BF"/>
    </w:rPr>
  </w:style>
  <w:style w:type="paragraph" w:styleId="IntenseQuote">
    <w:name w:val="Intense Quote"/>
    <w:basedOn w:val="Normal"/>
    <w:next w:val="Normal"/>
    <w:link w:val="IntenseQuoteChar"/>
    <w:uiPriority w:val="30"/>
    <w:qFormat/>
    <w:rsid w:val="00656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04E"/>
    <w:rPr>
      <w:i/>
      <w:iCs/>
      <w:color w:val="0F4761" w:themeColor="accent1" w:themeShade="BF"/>
    </w:rPr>
  </w:style>
  <w:style w:type="character" w:styleId="IntenseReference">
    <w:name w:val="Intense Reference"/>
    <w:basedOn w:val="DefaultParagraphFont"/>
    <w:uiPriority w:val="32"/>
    <w:qFormat/>
    <w:rsid w:val="0065604E"/>
    <w:rPr>
      <w:b/>
      <w:bCs/>
      <w:smallCaps/>
      <w:color w:val="0F4761" w:themeColor="accent1" w:themeShade="BF"/>
      <w:spacing w:val="5"/>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7306</Words>
  <Characters>41647</Characters>
  <Application>Microsoft Office Word</Application>
  <DocSecurity>0</DocSecurity>
  <Lines>347</Lines>
  <Paragraphs>97</Paragraphs>
  <ScaleCrop>false</ScaleCrop>
  <Company/>
  <LinksUpToDate>false</LinksUpToDate>
  <CharactersWithSpaces>48856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cp:revision>
  <dcterms:created xsi:type="dcterms:W3CDTF">2024-06-18T23:06:00Z</dcterms:created>
  <dcterms:modified xsi:type="dcterms:W3CDTF">2024-06-18T23:17:00Z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