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b5ea32427e5be3bc270cad1f5bfde605e11a095"/>
    <w:p>
      <w:pPr>
        <w:pStyle w:val="Heading1"/>
      </w:pPr>
      <w:r>
        <w:t xml:space="preserve">Optimización de la conversión en e-commerce mediante modelado de propensión de compra</w:t>
      </w:r>
    </w:p>
    <w:bookmarkStart w:id="9" w:name="Xcf59b7f4ff1a15e20982e5c26a5961bfd309b42"/>
    <w:p>
      <w:pPr>
        <w:pStyle w:val="Heading3"/>
      </w:pPr>
      <w:r>
        <w:t xml:space="preserve">Proyecto Integrador 1 · Maestría en Ciencia de Datos y Analítica · EAFIT · 2026-1</w:t>
      </w:r>
    </w:p>
    <w:p>
      <w:r>
        <w:pict>
          <v:rect style="width:0;height:1.5pt" o:hralign="center" o:hrstd="t" o:hr="t"/>
        </w:pict>
      </w:r>
    </w:p>
    <w:bookmarkEnd w:id="9"/>
    <w:bookmarkStart w:id="10" w:name="portada"/>
    <w:p>
      <w:pPr>
        <w:pStyle w:val="Heading2"/>
      </w:pPr>
      <w:r>
        <w:t xml:space="preserve">Portada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Optimización de la conversión en e-commerce mediante modelado de propensión de compra.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Autores:</w:t>
      </w:r>
      <w:r>
        <w:t xml:space="preserve"> </w:t>
      </w:r>
      <w:r>
        <w:t xml:space="preserve">Kelly … , Sara … , Heider Zapata, Yeison …</w:t>
      </w:r>
      <w:r>
        <w:t xml:space="preserve"> </w:t>
      </w:r>
      <w:r>
        <w:rPr>
          <w:i/>
          <w:iCs/>
        </w:rPr>
        <w:t xml:space="preserve">(completar nombres y afiliaciones)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Materias:</w:t>
      </w:r>
      <w:r>
        <w:t xml:space="preserve"> </w:t>
      </w:r>
      <w:r>
        <w:t xml:space="preserve">SI7009 Aprendizaje Automático · SI7006 Almac. y Proces. de Grandes Datos · SI7007 Visualización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8 de junio de 2026 ·</w:t>
      </w:r>
      <w:r>
        <w:t xml:space="preserve"> </w:t>
      </w:r>
      <w:r>
        <w:rPr>
          <w:b/>
          <w:bCs/>
        </w:rPr>
        <w:t xml:space="preserve">Exposición:</w:t>
      </w:r>
      <w:r>
        <w:t xml:space="preserve"> </w:t>
      </w:r>
      <w:r>
        <w:t xml:space="preserve">9 de junio de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Repositorio:</w:t>
      </w:r>
      <w:r>
        <w:t xml:space="preserve"> </w:t>
      </w:r>
      <w:r>
        <w:rPr>
          <w:rStyle w:val="VerbatimChar"/>
        </w:rPr>
        <w:t xml:space="preserve">HeiderZapata/proyecto-integrador-g8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comercio electrónico convierte una fracción muy pequeña de su tráfico: en la tienda analizada,</w:t>
      </w:r>
      <w:r>
        <w:t xml:space="preserve"> </w:t>
      </w:r>
      <w:r>
        <w:rPr>
          <w:b/>
          <w:bCs/>
        </w:rPr>
        <w:t xml:space="preserve">~98 de cada 100 visitas no terminan en compra y ~4 de cada 10 carritos se abandonan</w:t>
      </w:r>
      <w:r>
        <w:t xml:space="preserve">. En un negocio de este volumen, cada punto de conversión recuperado tiene un impacto directo en el ingreso; por eso entender</w:t>
      </w:r>
      <w:r>
        <w:t xml:space="preserve"> </w:t>
      </w:r>
      <w:r>
        <w:rPr>
          <w:i/>
          <w:iCs/>
        </w:rPr>
        <w:t xml:space="preserve">dónde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se fuga la conversión —y</w:t>
      </w:r>
      <w:r>
        <w:t xml:space="preserve"> </w:t>
      </w:r>
      <w:r>
        <w:rPr>
          <w:i/>
          <w:iCs/>
        </w:rPr>
        <w:t xml:space="preserve">sobre quién</w:t>
      </w:r>
      <w:r>
        <w:t xml:space="preserve"> </w:t>
      </w:r>
      <w:r>
        <w:t xml:space="preserve">conviene intervenir— es una pregunta de negocio de primer orden.</w:t>
      </w:r>
    </w:p>
    <w:p>
      <w:pPr>
        <w:pStyle w:val="BodyText"/>
      </w:pPr>
      <w:r>
        <w:t xml:space="preserve">El proyecto trabaja sobre</w:t>
      </w:r>
      <w:r>
        <w:t xml:space="preserve"> </w:t>
      </w:r>
      <w:r>
        <w:rPr>
          <w:b/>
          <w:bCs/>
        </w:rPr>
        <w:t xml:space="preserve">REES46</w:t>
      </w:r>
      <w:r>
        <w:t xml:space="preserve">, un dataset abierto de</w:t>
      </w:r>
      <w:r>
        <w:t xml:space="preserve"> </w:t>
      </w:r>
      <w:r>
        <w:rPr>
          <w:i/>
          <w:iCs/>
        </w:rPr>
        <w:t xml:space="preserve">clickstream</w:t>
      </w:r>
      <w:r>
        <w:t xml:space="preserve"> </w:t>
      </w:r>
      <w:r>
        <w:t xml:space="preserve">multi-categoría de una tienda de e-commerce (Octubre–Noviembre 2019, ~14.5 GB,</w:t>
      </w:r>
      <w:r>
        <w:t xml:space="preserve"> </w:t>
      </w:r>
      <w:r>
        <w:rPr>
          <w:b/>
          <w:bCs/>
        </w:rPr>
        <w:t xml:space="preserve">109.5 M de eventos</w:t>
      </w:r>
      <w:r>
        <w:t xml:space="preserve"> </w:t>
      </w:r>
      <w:r>
        <w:rPr>
          <w:rStyle w:val="VerbatimChar"/>
        </w:rPr>
        <w:t xml:space="preserve">view</w:t>
      </w:r>
      <w:r>
        <w:t xml:space="preserve">/</w:t>
      </w:r>
      <w:r>
        <w:rPr>
          <w:rStyle w:val="VerbatimChar"/>
        </w:rPr>
        <w:t xml:space="preserve">cart</w:t>
      </w:r>
      <w:r>
        <w:t xml:space="preserve">/</w:t>
      </w:r>
      <w:r>
        <w:rPr>
          <w:rStyle w:val="VerbatimChar"/>
        </w:rPr>
        <w:t xml:space="preserve">purchase</w:t>
      </w:r>
      <w:r>
        <w:t xml:space="preserve">). Su escala y su naturaleza de flujo de eventos lo hacen un caso realista tanto para la</w:t>
      </w:r>
      <w:r>
        <w:t xml:space="preserve"> </w:t>
      </w:r>
      <w:r>
        <w:rPr>
          <w:b/>
          <w:bCs/>
        </w:rPr>
        <w:t xml:space="preserve">ingeniería de grandes datos</w:t>
      </w:r>
      <w:r>
        <w:t xml:space="preserve"> </w:t>
      </w:r>
      <w:r>
        <w:t xml:space="preserve">como para el</w:t>
      </w:r>
      <w:r>
        <w:t xml:space="preserve"> </w:t>
      </w:r>
      <w:r>
        <w:rPr>
          <w:b/>
          <w:bCs/>
        </w:rPr>
        <w:t xml:space="preserve">modelado de propensión</w:t>
      </w:r>
      <w:r>
        <w:t xml:space="preserve"> </w:t>
      </w:r>
      <w:r>
        <w:t xml:space="preserve">sobre un</w:t>
      </w:r>
      <w:r>
        <w:t xml:space="preserve"> </w:t>
      </w:r>
      <w:r>
        <w:rPr>
          <w:b/>
          <w:bCs/>
        </w:rPr>
        <w:t xml:space="preserve">evento raro</w:t>
      </w:r>
      <w:r>
        <w:t xml:space="preserve"> </w:t>
      </w:r>
      <w:r>
        <w:t xml:space="preserve">(la compra, ~2–6 % según la unidad de medida).</w:t>
      </w:r>
    </w:p>
    <w:p>
      <w:pPr>
        <w:pStyle w:val="BodyText"/>
      </w:pPr>
      <w:r>
        <w:rPr>
          <w:b/>
          <w:bCs/>
        </w:rPr>
        <w:t xml:space="preserve">Pregunta de negocio (alcance completo):</w:t>
      </w:r>
      <w:r>
        <w:t xml:space="preserve"> </w:t>
      </w:r>
      <w:r>
        <w:t xml:space="preserve">¿dónde y por qué se nos escapan las compras, qué tipos de visitante las explican, y dónde —y cómo lo mediríamos— conviene concentrar el esfuerzo para recuperar conversión? De ella se afila la</w:t>
      </w:r>
      <w:r>
        <w:t xml:space="preserve"> </w:t>
      </w:r>
      <w:r>
        <w:rPr>
          <w:b/>
          <w:bCs/>
        </w:rPr>
        <w:t xml:space="preserve">Pregunta de Oro</w:t>
      </w:r>
      <w:r>
        <w:t xml:space="preserve"> </w:t>
      </w:r>
      <w:r>
        <w:t xml:space="preserve">que guía el tablero:</w:t>
      </w:r>
      <w:r>
        <w:t xml:space="preserve"> </w:t>
      </w:r>
      <w:r>
        <w:rPr>
          <w:i/>
          <w:iCs/>
        </w:rPr>
        <w:t xml:space="preserve">¿dónde se concentra la fuga de conversión y qué segmento de visitantes representa la mayor oportunidad de recuperarla?</w:t>
      </w:r>
    </w:p>
    <w:p>
      <w:pPr>
        <w:pStyle w:val="BodyText"/>
      </w:pPr>
      <w:r>
        <w:t xml:space="preserve">El proyecto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construye un modelo para</w:t>
      </w:r>
      <w:r>
        <w:t xml:space="preserve"> </w:t>
      </w:r>
      <w:r>
        <w:t xml:space="preserve">“adivinar quién compra”</w:t>
      </w:r>
      <w:r>
        <w:t xml:space="preserve">; construye un</w:t>
      </w:r>
      <w:r>
        <w:t xml:space="preserve"> </w:t>
      </w:r>
      <w:r>
        <w:rPr>
          <w:b/>
          <w:bCs/>
        </w:rPr>
        <w:t xml:space="preserve">sistema de decisión</w:t>
      </w:r>
      <w:r>
        <w:t xml:space="preserve"> </w:t>
      </w:r>
      <w:r>
        <w:t xml:space="preserve">con cuatro piezas: (1) un</w:t>
      </w:r>
      <w:r>
        <w:t xml:space="preserve"> </w:t>
      </w:r>
      <w:r>
        <w:rPr>
          <w:b/>
          <w:bCs/>
        </w:rPr>
        <w:t xml:space="preserve">clasificador de propensión</w:t>
      </w:r>
      <w:r>
        <w:t xml:space="preserve"> </w:t>
      </w:r>
      <w:r>
        <w:t xml:space="preserve">de compra a nivel sesión; (2) un</w:t>
      </w:r>
      <w:r>
        <w:t xml:space="preserve"> </w:t>
      </w:r>
      <w:r>
        <w:rPr>
          <w:b/>
          <w:bCs/>
        </w:rPr>
        <w:t xml:space="preserve">clustering de visitantes</w:t>
      </w:r>
      <w:r>
        <w:t xml:space="preserve"> </w:t>
      </w:r>
      <w:r>
        <w:t xml:space="preserve">para tipificar el comportamiento; (3) un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del funnel y de las variables que explican la (no) conversión; y (4) el</w:t>
      </w:r>
      <w:r>
        <w:t xml:space="preserve"> </w:t>
      </w:r>
      <w:r>
        <w:rPr>
          <w:b/>
          <w:bCs/>
        </w:rPr>
        <w:t xml:space="preserve">diseño de un A/B test</w:t>
      </w:r>
      <w:r>
        <w:t xml:space="preserve"> </w:t>
      </w:r>
      <w:r>
        <w:t xml:space="preserve">que mediría el efecto de un incentivo sobre el segmento de mayor intención. La predicción es el</w:t>
      </w:r>
      <w:r>
        <w:t xml:space="preserve"> </w:t>
      </w:r>
      <w:r>
        <w:rPr>
          <w:b/>
          <w:bCs/>
        </w:rPr>
        <w:t xml:space="preserve">instrumento</w:t>
      </w:r>
      <w:r>
        <w:t xml:space="preserve">; la</w:t>
      </w:r>
      <w:r>
        <w:t xml:space="preserve"> </w:t>
      </w:r>
      <w:r>
        <w:rPr>
          <w:b/>
          <w:bCs/>
        </w:rPr>
        <w:t xml:space="preserve">decisión de negocio</w:t>
      </w:r>
      <w:r>
        <w:t xml:space="preserve"> </w:t>
      </w:r>
      <w:r>
        <w:t xml:space="preserve">es el producto.</w:t>
      </w:r>
      <w:r>
        <w:t xml:space="preserve"> </w:t>
      </w:r>
      <w:r>
        <w:rPr>
          <w:i/>
          <w:iCs/>
        </w:rPr>
        <w:t xml:space="preserve">(El giro respecto a la propuesta original —que prometía un modelo de uplift causal, no estimable con datos observacionales— se fundamenta en §2.5 y se cierra en §3.5.)</w:t>
      </w:r>
    </w:p>
    <w:p>
      <w:pPr>
        <w:pStyle w:val="BodyText"/>
      </w:pPr>
      <w:r>
        <w:rPr>
          <w:b/>
          <w:bCs/>
        </w:rPr>
        <w:t xml:space="preserve">Estructura del documento.</w:t>
      </w:r>
      <w:r>
        <w:t xml:space="preserve"> </w:t>
      </w:r>
      <w:r>
        <w:t xml:space="preserve">§2 establece el marco teórico; §3 desarrolla la metodología de ML (problema, EDA, características, modelos, entrenamiento, evaluación y el diseño del A/B); §4 describe la ingeniería de datos y la arquitectura tecnológica; §5 la visualización y comunicación; §6 las conclusiones generales; §7 las referencias.</w:t>
      </w:r>
    </w:p>
    <w:bookmarkEnd w:id="11"/>
    <w:bookmarkStart w:id="20" w:name="marco-teórico-y-referencias"/>
    <w:p>
      <w:pPr>
        <w:pStyle w:val="Heading2"/>
      </w:pPr>
      <w:r>
        <w:t xml:space="preserve">2. Marco teórico y referencias</w:t>
      </w:r>
    </w:p>
    <w:p>
      <w:pPr>
        <w:pStyle w:val="FirstParagraph"/>
      </w:pPr>
      <w:r>
        <w:t xml:space="preserve">El hilo conductor metodológico no es</w:t>
      </w:r>
      <w:r>
        <w:t xml:space="preserve"> </w:t>
      </w:r>
      <w:r>
        <w:t xml:space="preserve">“qué algoritmo”</w:t>
      </w:r>
      <w:r>
        <w:t xml:space="preserve">, sino</w:t>
      </w:r>
      <w:r>
        <w:t xml:space="preserve"> </w:t>
      </w:r>
      <w:r>
        <w:rPr>
          <w:b/>
          <w:bCs/>
        </w:rPr>
        <w:t xml:space="preserve">cómo defender una decisión de modelado</w:t>
      </w:r>
      <w:r>
        <w:t xml:space="preserve">: problema → baseline → métrica → validación → umbral → decisión. Un score alto no prueba nada por sí solo.</w:t>
      </w:r>
    </w:p>
    <w:bookmarkStart w:id="12" w:name="X7e6602506581af4f946ed9955ca429aa8096380"/>
    <w:p>
      <w:pPr>
        <w:pStyle w:val="Heading3"/>
      </w:pPr>
      <w:r>
        <w:t xml:space="preserve">2.1 Clasificación supervisada sobre eventos raros</w:t>
      </w:r>
    </w:p>
    <w:p>
      <w:pPr>
        <w:pStyle w:val="FirstParagraph"/>
      </w:pPr>
      <w:r>
        <w:t xml:space="preserve">Cuando la clase positiva es minoritaria (la compra), el</w:t>
      </w:r>
      <w:r>
        <w:t xml:space="preserve"> </w:t>
      </w:r>
      <w:r>
        <w:rPr>
          <w:b/>
          <w:bCs/>
        </w:rPr>
        <w:t xml:space="preserve">accuracy engaña</w:t>
      </w:r>
      <w:r>
        <w:t xml:space="preserve">: un clasificador</w:t>
      </w:r>
      <w:r>
        <w:t xml:space="preserve"> </w:t>
      </w:r>
      <w:r>
        <w:t xml:space="preserve">“todo-negativo”</w:t>
      </w:r>
      <w:r>
        <w:t xml:space="preserve"> </w:t>
      </w:r>
      <w:r>
        <w:t xml:space="preserve">alcanza ~94–98 % de accuracy y 0 % de recall. Por eso la métrica se alinea al error dominante: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(</w:t>
      </w:r>
      <w:r>
        <w:rPr>
          <w:i/>
          <w:iCs/>
        </w:rPr>
        <w:t xml:space="preserve">average precision</w:t>
      </w:r>
      <w:r>
        <w:t xml:space="preserve">), que pone la clase positiva rara en primer plano, junto con</w:t>
      </w:r>
      <w:r>
        <w:t xml:space="preserve"> </w:t>
      </w:r>
      <w:r>
        <w:rPr>
          <w:i/>
          <w:iCs/>
        </w:rPr>
        <w:t xml:space="preserve">precision/recall</w:t>
      </w:r>
      <w:r>
        <w:t xml:space="preserve"> </w:t>
      </w:r>
      <w:r>
        <w:t xml:space="preserve">en el punto de operación; el ROC-AUC puede verse optimista con positivos raros. El</w:t>
      </w:r>
      <w:r>
        <w:t xml:space="preserve"> </w:t>
      </w:r>
      <w:r>
        <w:rPr>
          <w:b/>
          <w:bCs/>
        </w:rPr>
        <w:t xml:space="preserve">desbalance</w:t>
      </w:r>
      <w:r>
        <w:t xml:space="preserve"> </w:t>
      </w:r>
      <w:r>
        <w:t xml:space="preserve">se trata dentro del entrenamiento (</w:t>
      </w:r>
      <w:r>
        <w:rPr>
          <w:rStyle w:val="VerbatimChar"/>
        </w:rPr>
        <w:t xml:space="preserve">class_weight</w:t>
      </w:r>
      <w:r>
        <w:t xml:space="preserve">/</w:t>
      </w:r>
      <w:r>
        <w:rPr>
          <w:rStyle w:val="VerbatimChar"/>
        </w:rPr>
        <w:t xml:space="preserve">scale_pos_weight</w:t>
      </w:r>
      <w:r>
        <w:t xml:space="preserve">, o remuestreo) y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sobre el conjunto de prueba. Además,</w:t>
      </w:r>
      <w:r>
        <w:t xml:space="preserve"> </w:t>
      </w:r>
      <w:r>
        <w:rPr>
          <w:b/>
          <w:bCs/>
        </w:rPr>
        <w:t xml:space="preserve">discriminar ≠ calibrar</w:t>
      </w:r>
      <w:r>
        <w:t xml:space="preserve">: una probabilidad bien ordenada puede estar mal calibrada, por lo que se reporta la</w:t>
      </w:r>
      <w:r>
        <w:t xml:space="preserve"> </w:t>
      </w:r>
      <w:r>
        <w:rPr>
          <w:b/>
          <w:bCs/>
        </w:rPr>
        <w:t xml:space="preserve">curva de calibración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Brier score</w:t>
      </w:r>
      <w:r>
        <w:t xml:space="preserve"> </w:t>
      </w:r>
      <w:r>
        <w:t xml:space="preserve">(</w:t>
      </w:r>
      <w:r>
        <w:t xml:space="preserve">“si el modelo dice 0.8, ~80 % de casos similares deben ser positivos”</w:t>
      </w:r>
      <w:r>
        <w:t xml:space="preserve">). Finalmente,</w:t>
      </w:r>
      <w:r>
        <w:t xml:space="preserve"> </w:t>
      </w:r>
      <w:r>
        <w:rPr>
          <w:b/>
          <w:bCs/>
        </w:rPr>
        <w:t xml:space="preserve">el umbral es una política operativa</w:t>
      </w:r>
      <w:r>
        <w:t xml:space="preserve">, no 0.5: se define por el costo del error y la capacidad de intervención (</w:t>
      </w:r>
      <w:r>
        <w:t xml:space="preserve">“el modelo estima; el umbral decide”</w:t>
      </w:r>
      <w:r>
        <w:t xml:space="preserve">).</w:t>
      </w:r>
    </w:p>
    <w:bookmarkEnd w:id="12"/>
    <w:bookmarkStart w:id="13" w:name="Xe830f939fc5fb26e83ed414caa65260d5cf0adc"/>
    <w:p>
      <w:pPr>
        <w:pStyle w:val="Heading3"/>
      </w:pPr>
      <w:r>
        <w:t xml:space="preserve">2.2 Validación que respeta el tiempo y anti-fuga</w:t>
      </w:r>
    </w:p>
    <w:p>
      <w:pPr>
        <w:pStyle w:val="FirstParagraph"/>
      </w:pPr>
      <w:r>
        <w:t xml:space="preserve">Cuando los datos tienen estructura temporal,</w:t>
      </w:r>
      <w:r>
        <w:t xml:space="preserve"> </w:t>
      </w:r>
      <w:r>
        <w:t xml:space="preserve">“el futuro no puede entrenar el modelo que evalúa el pasado”</w:t>
      </w:r>
      <w:r>
        <w:t xml:space="preserve">. Una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es válida solo si su información existía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momento de predicción. De aquí se derivan dos decisiones: un</w:t>
      </w:r>
      <w:r>
        <w:t xml:space="preserve"> </w:t>
      </w:r>
      <w:r>
        <w:rPr>
          <w:b/>
          <w:bCs/>
        </w:rPr>
        <w:t xml:space="preserve">split temporal</w:t>
      </w:r>
      <w:r>
        <w:t xml:space="preserve"> </w:t>
      </w:r>
      <w:r>
        <w:rPr>
          <w:i/>
          <w:iCs/>
        </w:rPr>
        <w:t xml:space="preserve">out-of-time</w:t>
      </w:r>
      <w:r>
        <w:t xml:space="preserve"> </w:t>
      </w:r>
      <w:r>
        <w:t xml:space="preserve">(entrenar con el pasado, evaluar con el futuro) y un</w:t>
      </w:r>
      <w:r>
        <w:t xml:space="preserve"> </w:t>
      </w:r>
      <w:r>
        <w:rPr>
          <w:b/>
          <w:bCs/>
        </w:rPr>
        <w:t xml:space="preserve">corte anti-fuga</w:t>
      </w:r>
      <w:r>
        <w:t xml:space="preserve"> </w:t>
      </w:r>
      <w:r>
        <w:t xml:space="preserve">(usar solo el comportamiento previo al evento que define la etiqueta). El</w:t>
      </w:r>
      <w:r>
        <w:t xml:space="preserve"> </w:t>
      </w:r>
      <w:r>
        <w:rPr>
          <w:i/>
          <w:iCs/>
        </w:rPr>
        <w:t xml:space="preserve">leakage</w:t>
      </w:r>
      <w:r>
        <w:t xml:space="preserve"> </w:t>
      </w:r>
      <w:r>
        <w:t xml:space="preserve">se audita sobre el</w:t>
      </w:r>
      <w:r>
        <w:t xml:space="preserve"> </w:t>
      </w:r>
      <w:r>
        <w:rPr>
          <w:b/>
          <w:bCs/>
        </w:rPr>
        <w:t xml:space="preserve">pipeline completo</w:t>
      </w:r>
      <w:r>
        <w:t xml:space="preserve"> </w:t>
      </w:r>
      <w:r>
        <w:t xml:space="preserve">(escalado/imputación/rebalanceo dentro de cada</w:t>
      </w:r>
      <w:r>
        <w:t xml:space="preserve"> </w:t>
      </w:r>
      <w:r>
        <w:rPr>
          <w:i/>
          <w:iCs/>
        </w:rPr>
        <w:t xml:space="preserve">fold</w:t>
      </w:r>
      <w:r>
        <w:t xml:space="preserve">), no solo sobre el estimador.</w:t>
      </w:r>
      <w:r>
        <w:t xml:space="preserve"> </w:t>
      </w:r>
      <w:r>
        <w:rPr>
          <w:i/>
          <w:iCs/>
        </w:rPr>
        <w:t xml:space="preserve">(No se usa</w:t>
      </w:r>
      <w:r>
        <w:t xml:space="preserve"> </w:t>
      </w:r>
      <w:r>
        <w:t xml:space="preserve">forecasting</w:t>
      </w:r>
      <w:r>
        <w:t xml:space="preserve"> </w:t>
      </w:r>
      <w:r>
        <w:rPr>
          <w:i/>
          <w:iCs/>
        </w:rPr>
        <w:t xml:space="preserve">ni walk-forward: el problema es de clasificación; se transfiere el criterio temporal, no la maquinaria de series de tiempo.)</w:t>
      </w:r>
    </w:p>
    <w:bookmarkEnd w:id="13"/>
    <w:bookmarkStart w:id="14" w:name="árboles-ensembles-y-boosting"/>
    <w:p>
      <w:pPr>
        <w:pStyle w:val="Heading3"/>
      </w:pPr>
      <w:r>
        <w:t xml:space="preserve">2.3 Árboles, ensembles y boosting</w:t>
      </w:r>
    </w:p>
    <w:p>
      <w:pPr>
        <w:pStyle w:val="FirstParagraph"/>
      </w:pPr>
      <w:r>
        <w:t xml:space="preserve">Los árboles (CART) particionan el espacio de features y capturan no-linealidades e interacciones. Los</w:t>
      </w:r>
      <w:r>
        <w:t xml:space="preserve"> </w:t>
      </w:r>
      <w:r>
        <w:rPr>
          <w:b/>
          <w:bCs/>
        </w:rPr>
        <w:t xml:space="preserve">ensembles</w:t>
      </w:r>
      <w:r>
        <w:t xml:space="preserve"> </w:t>
      </w:r>
      <w:r>
        <w:t xml:space="preserve">mejoran por</w:t>
      </w:r>
      <w:r>
        <w:t xml:space="preserve"> </w:t>
      </w:r>
      <w:r>
        <w:rPr>
          <w:b/>
          <w:bCs/>
        </w:rPr>
        <w:t xml:space="preserve">diversidad</w:t>
      </w:r>
      <w:r>
        <w:t xml:space="preserve"> </w:t>
      </w:r>
      <w:r>
        <w:t xml:space="preserve">de errores: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(reduce varianza, p. ej. Random Forest) y</w:t>
      </w:r>
      <w:r>
        <w:t xml:space="preserve"> </w:t>
      </w:r>
      <w:r>
        <w:rPr>
          <w:b/>
          <w:bCs/>
        </w:rPr>
        <w:t xml:space="preserve">boosting</w:t>
      </w:r>
      <w:r>
        <w:t xml:space="preserve"> </w:t>
      </w:r>
      <w:r>
        <w:t xml:space="preserve">(corrección secuencial del residuo, p. ej. XGBoost/LightGBM/CatBoost). El boosting exige control de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 profundidad, regularización y</w:t>
      </w:r>
      <w:r>
        <w:t xml:space="preserve"> </w:t>
      </w:r>
      <w:r>
        <w:rPr>
          <w:i/>
          <w:iCs/>
        </w:rPr>
        <w:t xml:space="preserve">subsampling</w:t>
      </w:r>
      <w:r>
        <w:t xml:space="preserve">. La</w:t>
      </w:r>
      <w:r>
        <w:t xml:space="preserve"> </w:t>
      </w:r>
      <w:r>
        <w:rPr>
          <w:b/>
          <w:bCs/>
        </w:rPr>
        <w:t xml:space="preserve">optimización de hiperparámetros</w:t>
      </w:r>
      <w:r>
        <w:t xml:space="preserve"> </w:t>
      </w:r>
      <w:r>
        <w:t xml:space="preserve">se trata como diseño experimental (Optuna/optimización bayesiana) optimizando la métrica objetivo bajo</w:t>
      </w:r>
      <w:r>
        <w:t xml:space="preserve"> </w:t>
      </w:r>
      <w:r>
        <w:rPr>
          <w:b/>
          <w:bCs/>
        </w:rPr>
        <w:t xml:space="preserve">validación cruzada estratificada</w:t>
      </w:r>
      <w:r>
        <w:t xml:space="preserve">, y se selecciona por</w:t>
      </w:r>
      <w:r>
        <w:t xml:space="preserve"> </w:t>
      </w:r>
      <w:r>
        <w:rPr>
          <w:b/>
          <w:bCs/>
        </w:rPr>
        <w:t xml:space="preserve">promedio y variabilidad</w:t>
      </w:r>
      <w:r>
        <w:t xml:space="preserve"> </w:t>
      </w:r>
      <w:r>
        <w:t xml:space="preserve">entre</w:t>
      </w:r>
      <w:r>
        <w:t xml:space="preserve"> </w:t>
      </w:r>
      <w:r>
        <w:rPr>
          <w:i/>
          <w:iCs/>
        </w:rPr>
        <w:t xml:space="preserve">folds</w:t>
      </w:r>
      <w:r>
        <w:t xml:space="preserve">, no por el mejor</w:t>
      </w:r>
      <w:r>
        <w:t xml:space="preserve"> </w:t>
      </w:r>
      <w:r>
        <w:rPr>
          <w:i/>
          <w:iCs/>
        </w:rPr>
        <w:t xml:space="preserve">trial</w:t>
      </w:r>
      <w:r>
        <w:t xml:space="preserve"> </w:t>
      </w:r>
      <w:r>
        <w:t xml:space="preserve">aislado.</w:t>
      </w:r>
    </w:p>
    <w:bookmarkEnd w:id="14"/>
    <w:bookmarkStart w:id="15" w:name="aprendizaje-no-supervisado-clustering"/>
    <w:p>
      <w:pPr>
        <w:pStyle w:val="Heading3"/>
      </w:pPr>
      <w:r>
        <w:t xml:space="preserve">2.4 Aprendizaje no supervisado: clustering</w:t>
      </w:r>
    </w:p>
    <w:p>
      <w:pPr>
        <w:pStyle w:val="FirstParagraph"/>
      </w:pPr>
      <w:r>
        <w:t xml:space="preserve">Representar es elegir una geometría: el</w:t>
      </w:r>
      <w:r>
        <w:t xml:space="preserve"> </w:t>
      </w:r>
      <w:r>
        <w:rPr>
          <w:b/>
          <w:bCs/>
        </w:rPr>
        <w:t xml:space="preserve">escalado es parte de la definición de similitud</w:t>
      </w:r>
      <w:r>
        <w:t xml:space="preserve"> </w:t>
      </w:r>
      <w:r>
        <w:t xml:space="preserve">(sin él, la variable de mayor magnitud domina la distancia).</w:t>
      </w:r>
      <w:r>
        <w:t xml:space="preserve"> </w:t>
      </w:r>
      <w:r>
        <w:rPr>
          <w:b/>
          <w:bCs/>
        </w:rPr>
        <w:t xml:space="preserve">K-Means</w:t>
      </w:r>
      <w:r>
        <w:t xml:space="preserve"> </w:t>
      </w:r>
      <w:r>
        <w:t xml:space="preserve">minimiza la inercia intra-cluster;</w:t>
      </w:r>
      <w:r>
        <w:t xml:space="preserve"> </w:t>
      </w:r>
      <w:r>
        <w:rPr>
          <w:b/>
          <w:bCs/>
        </w:rPr>
        <w:t xml:space="preserve">PCA</w:t>
      </w:r>
      <w:r>
        <w:t xml:space="preserve"> </w:t>
      </w:r>
      <w:r>
        <w:t xml:space="preserve">sirve para</w:t>
      </w:r>
      <w:r>
        <w:t xml:space="preserve"> </w:t>
      </w:r>
      <w:r>
        <w:rPr>
          <w:i/>
          <w:iCs/>
        </w:rPr>
        <w:t xml:space="preserve">inspeccionar</w:t>
      </w:r>
      <w:r>
        <w:t xml:space="preserve"> </w:t>
      </w:r>
      <w:r>
        <w:t xml:space="preserve">(no</w:t>
      </w:r>
      <w:r>
        <w:t xml:space="preserve"> </w:t>
      </w:r>
      <w:r>
        <w:t xml:space="preserve">“prueba”</w:t>
      </w:r>
      <w:r>
        <w:t xml:space="preserve"> </w:t>
      </w:r>
      <w:r>
        <w:t xml:space="preserve">clusters). El número de grupos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se elige con</w:t>
      </w:r>
      <w:r>
        <w:t xml:space="preserve"> </w:t>
      </w:r>
      <w:r>
        <w:rPr>
          <w:b/>
          <w:bCs/>
        </w:rPr>
        <w:t xml:space="preserve">codo + silhouette</w:t>
      </w:r>
      <w:r>
        <w:t xml:space="preserve">, pero</w:t>
      </w:r>
      <w:r>
        <w:t xml:space="preserve"> </w:t>
      </w:r>
      <w:r>
        <w:t xml:space="preserve">“el mejor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no es el que maximiza una métrica, es el que sostiene una partición defendible”</w:t>
      </w:r>
      <w:r>
        <w:t xml:space="preserve">. Principio central:</w:t>
      </w:r>
      <w:r>
        <w:t xml:space="preserve"> </w:t>
      </w:r>
      <w:r>
        <w:rPr>
          <w:b/>
          <w:bCs/>
        </w:rPr>
        <w:t xml:space="preserve">“cluster ≠ segmento”</w:t>
      </w:r>
      <w:r>
        <w:t xml:space="preserve"> </w:t>
      </w:r>
      <w:r>
        <w:t xml:space="preserve">— un cluster es una partición del algoritmo; un segmento debe poder</w:t>
      </w:r>
      <w:r>
        <w:t xml:space="preserve"> </w:t>
      </w:r>
      <w:r>
        <w:rPr>
          <w:b/>
          <w:bCs/>
        </w:rPr>
        <w:t xml:space="preserve">nombrarse, dimensionarse, perfilarse, validarse y accionarse</w:t>
      </w:r>
      <w:r>
        <w:t xml:space="preserve"> </w:t>
      </w:r>
      <w:r>
        <w:t xml:space="preserve">de forma diferenciada.</w:t>
      </w:r>
    </w:p>
    <w:bookmarkEnd w:id="15"/>
    <w:bookmarkStart w:id="16" w:name="diseño-experimental-propensión-uplift"/>
    <w:p>
      <w:pPr>
        <w:pStyle w:val="Heading3"/>
      </w:pPr>
      <w:r>
        <w:t xml:space="preserve">2.5 Diseño experimental: propensión ≠</w:t>
      </w:r>
      <w:r>
        <w:t xml:space="preserve"> </w:t>
      </w:r>
      <w:r>
        <w:rPr>
          <w:i/>
          <w:iCs/>
        </w:rPr>
        <w:t xml:space="preserve">uplift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propensión</w:t>
      </w:r>
      <w:r>
        <w:t xml:space="preserve"> </w:t>
      </w:r>
      <w:r>
        <w:t xml:space="preserve">estima</w:t>
      </w:r>
      <w:r>
        <w:t xml:space="preserve"> </w:t>
      </w:r>
      <w:r>
        <w:rPr>
          <w:i/>
          <w:iCs/>
        </w:rPr>
        <w:t xml:space="preserve">quién comprará</w:t>
      </w:r>
      <w:r>
        <w:t xml:space="preserve">; el</w:t>
      </w:r>
      <w:r>
        <w:t xml:space="preserve"> </w:t>
      </w:r>
      <w:r>
        <w:rPr>
          <w:b/>
          <w:bCs/>
        </w:rPr>
        <w:t xml:space="preserve">uplift</w:t>
      </w:r>
      <w:r>
        <w:t xml:space="preserve"> </w:t>
      </w:r>
      <w:r>
        <w:t xml:space="preserve">estima el</w:t>
      </w:r>
      <w:r>
        <w:t xml:space="preserve"> </w:t>
      </w:r>
      <w:r>
        <w:rPr>
          <w:i/>
          <w:iCs/>
        </w:rPr>
        <w:t xml:space="preserve">efecto causal</w:t>
      </w:r>
      <w:r>
        <w:t xml:space="preserve"> </w:t>
      </w:r>
      <w:r>
        <w:t xml:space="preserve">de un tratamiento (un incentivo). El uplift requiere un grupo</w:t>
      </w:r>
      <w:r>
        <w:t xml:space="preserve"> </w:t>
      </w:r>
      <w:r>
        <w:rPr>
          <w:b/>
          <w:bCs/>
        </w:rPr>
        <w:t xml:space="preserve">tratado</w:t>
      </w:r>
      <w:r>
        <w:t xml:space="preserve"> </w:t>
      </w:r>
      <w:r>
        <w:t xml:space="preserve">y uno de</w:t>
      </w:r>
      <w:r>
        <w:t xml:space="preserve"> </w:t>
      </w:r>
      <w:r>
        <w:rPr>
          <w:b/>
          <w:bCs/>
        </w:rPr>
        <w:t xml:space="preserve">control</w:t>
      </w:r>
      <w:r>
        <w:t xml:space="preserve">; con datos</w:t>
      </w:r>
      <w:r>
        <w:t xml:space="preserve"> </w:t>
      </w:r>
      <w:r>
        <w:rPr>
          <w:b/>
          <w:bCs/>
        </w:rPr>
        <w:t xml:space="preserve">observacionales</w:t>
      </w:r>
      <w:r>
        <w:t xml:space="preserve"> </w:t>
      </w:r>
      <w:r>
        <w:t xml:space="preserve">(sin variable de tratamiento)</w:t>
      </w:r>
      <w:r>
        <w:t xml:space="preserve"> </w:t>
      </w:r>
      <w:r>
        <w:rPr>
          <w:b/>
          <w:bCs/>
        </w:rPr>
        <w:t xml:space="preserve">no es estimable</w:t>
      </w:r>
      <w:r>
        <w:t xml:space="preserve">, y usar la propensión como si fuera uplift seleccionaría</w:t>
      </w:r>
      <w:r>
        <w:t xml:space="preserve"> </w:t>
      </w:r>
      <w:r>
        <w:t xml:space="preserve">“compradores seguros”</w:t>
      </w:r>
      <w:r>
        <w:t xml:space="preserve"> </w:t>
      </w:r>
      <w:r>
        <w:t xml:space="preserve">y afirmaría causalidad no verificable. La vía correcta es</w:t>
      </w:r>
      <w:r>
        <w:t xml:space="preserve"> </w:t>
      </w:r>
      <w:r>
        <w:rPr>
          <w:b/>
          <w:bCs/>
        </w:rPr>
        <w:t xml:space="preserve">diseñar el experimento</w:t>
      </w:r>
      <w:r>
        <w:t xml:space="preserve"> </w:t>
      </w:r>
      <w:r>
        <w:t xml:space="preserve">(A/B) que mediría el efecto, lo que ata el clasificador (targeting) con la decisión de negocio (§3.5).</w:t>
      </w:r>
    </w:p>
    <w:bookmarkEnd w:id="16"/>
    <w:bookmarkStart w:id="17" w:name="arquitectura-de-grandes-datos"/>
    <w:p>
      <w:pPr>
        <w:pStyle w:val="Heading3"/>
      </w:pPr>
      <w:r>
        <w:t xml:space="preserve">2.6 Arquitectura de grandes datos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ciclo de vida del dato</w:t>
      </w:r>
      <w:r>
        <w:t xml:space="preserve"> </w:t>
      </w:r>
      <w:r>
        <w:t xml:space="preserve">va de la ingesta al consumo analítico. Se distingue una arquitectura</w:t>
      </w:r>
      <w:r>
        <w:t xml:space="preserve"> </w:t>
      </w:r>
      <w:r>
        <w:rPr>
          <w:b/>
          <w:bCs/>
        </w:rPr>
        <w:t xml:space="preserve">de referencia</w:t>
      </w:r>
      <w:r>
        <w:t xml:space="preserve"> </w:t>
      </w:r>
      <w:r>
        <w:t xml:space="preserve">(productiva) de la</w:t>
      </w:r>
      <w:r>
        <w:t xml:space="preserve"> </w:t>
      </w:r>
      <w:r>
        <w:rPr>
          <w:b/>
          <w:bCs/>
        </w:rPr>
        <w:t xml:space="preserve">implementada</w:t>
      </w:r>
      <w:r>
        <w:t xml:space="preserve">. La</w:t>
      </w:r>
      <w:r>
        <w:t xml:space="preserve"> </w:t>
      </w:r>
      <w:r>
        <w:rPr>
          <w:b/>
          <w:bCs/>
        </w:rPr>
        <w:t xml:space="preserve">arquitectura Medallion</w:t>
      </w:r>
      <w:r>
        <w:t xml:space="preserve"> </w:t>
      </w:r>
      <w:r>
        <w:t xml:space="preserve">(Bronze → Silver → Gold) sobre</w:t>
      </w:r>
      <w:r>
        <w:t xml:space="preserve"> </w:t>
      </w:r>
      <w:r>
        <w:rPr>
          <w:b/>
          <w:bCs/>
        </w:rPr>
        <w:t xml:space="preserve">Delta Lake</w:t>
      </w:r>
      <w:r>
        <w:t xml:space="preserve"> </w:t>
      </w:r>
      <w:r>
        <w:t xml:space="preserve">da transacciones ACID,</w:t>
      </w:r>
      <w:r>
        <w:t xml:space="preserve"> </w:t>
      </w:r>
      <w:r>
        <w:rPr>
          <w:i/>
          <w:iCs/>
        </w:rPr>
        <w:t xml:space="preserve">time-travel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schema enforcement</w:t>
      </w:r>
      <w:r>
        <w:t xml:space="preserve"> </w:t>
      </w:r>
      <w:r>
        <w:t xml:space="preserve">sobre un lago de datos. Frente a</w:t>
      </w:r>
      <w: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(batch + streaming en paralelo), el estilo</w:t>
      </w:r>
      <w:r>
        <w:t xml:space="preserve"> </w:t>
      </w:r>
      <w:r>
        <w:rPr>
          <w:b/>
          <w:bCs/>
        </w:rPr>
        <w:t xml:space="preserve">Kappa</w:t>
      </w:r>
      <w:r>
        <w:t xml:space="preserve"> </w:t>
      </w:r>
      <w:r>
        <w:t xml:space="preserve">unifica el procesamiento en un único flujo de</w:t>
      </w:r>
      <w:r>
        <w:t xml:space="preserve"> </w:t>
      </w:r>
      <w:r>
        <w:rPr>
          <w:i/>
          <w:iCs/>
        </w:rPr>
        <w:t xml:space="preserve">streaming</w:t>
      </w:r>
      <w:r>
        <w:t xml:space="preserve">; con</w:t>
      </w:r>
      <w:r>
        <w:t xml:space="preserve"> </w:t>
      </w:r>
      <w:r>
        <w:rPr>
          <w:b/>
          <w:bCs/>
        </w:rPr>
        <w:t xml:space="preserve">Auto Loader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triggers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se obtiene un</w:t>
      </w:r>
      <w:r>
        <w:t xml:space="preserve"> </w:t>
      </w:r>
      <w:r>
        <w:rPr>
          <w:b/>
          <w:bCs/>
        </w:rPr>
        <w:t xml:space="preserve">replay de streaming</w:t>
      </w:r>
      <w:r>
        <w:t xml:space="preserve"> </w:t>
      </w:r>
      <w:r>
        <w:t xml:space="preserve">reproducible sobre datos batch. El procesamiento distribuido se hace con</w:t>
      </w:r>
      <w:r>
        <w:t xml:space="preserve"> </w:t>
      </w:r>
      <w:r>
        <w:rPr>
          <w:b/>
          <w:bCs/>
        </w:rPr>
        <w:t xml:space="preserve">Apache Spark</w:t>
      </w:r>
      <w:r>
        <w:t xml:space="preserve">; el particionamiento se decide por</w:t>
      </w:r>
      <w:r>
        <w:t xml:space="preserve"> </w:t>
      </w:r>
      <w:r>
        <w:rPr>
          <w:b/>
          <w:bCs/>
        </w:rPr>
        <w:t xml:space="preserve">tamaño</w:t>
      </w:r>
      <w:r>
        <w:t xml:space="preserve"> </w:t>
      </w:r>
      <w:r>
        <w:t xml:space="preserve">de cada capa (evitando micro-archivos), y los modelos se</w:t>
      </w:r>
      <w:r>
        <w:t xml:space="preserve"> </w:t>
      </w:r>
      <w:r>
        <w:rPr>
          <w:b/>
          <w:bCs/>
        </w:rPr>
        <w:t xml:space="preserve">persisten</w:t>
      </w:r>
      <w:r>
        <w:t xml:space="preserve"> </w:t>
      </w:r>
      <w:r>
        <w:t xml:space="preserve">con MLflow para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y consumo.</w:t>
      </w:r>
    </w:p>
    <w:bookmarkEnd w:id="17"/>
    <w:bookmarkStart w:id="18" w:name="visualización-y-comunicación"/>
    <w:p>
      <w:pPr>
        <w:pStyle w:val="Heading3"/>
      </w:pPr>
      <w:r>
        <w:t xml:space="preserve">2.7 Visualización y comunicación</w:t>
      </w:r>
    </w:p>
    <w:p>
      <w:pPr>
        <w:pStyle w:val="FirstParagraph"/>
      </w:pPr>
      <w:r>
        <w:t xml:space="preserve">La visualización</w:t>
      </w:r>
      <w:r>
        <w:t xml:space="preserve"> </w:t>
      </w:r>
      <w:r>
        <w:rPr>
          <w:b/>
          <w:bCs/>
        </w:rPr>
        <w:t xml:space="preserve">abre una hipótesis, no cierra una decisión</w:t>
      </w:r>
      <w:r>
        <w:t xml:space="preserve">. Para una audiencia de negocio, la comunicación se organiza alrededor de la</w:t>
      </w:r>
      <w:r>
        <w:t xml:space="preserve"> </w:t>
      </w:r>
      <w:r>
        <w:rPr>
          <w:b/>
          <w:bCs/>
        </w:rPr>
        <w:t xml:space="preserve">Pregunta de Oro</w:t>
      </w:r>
      <w:r>
        <w:t xml:space="preserve">, con un tablero ejecutivo desplegado que prioriza</w:t>
      </w:r>
      <w:r>
        <w:t xml:space="preserve"> </w:t>
      </w:r>
      <w:r>
        <w:rPr>
          <w:b/>
          <w:bCs/>
        </w:rPr>
        <w:t xml:space="preserve">narrativa y diseño</w:t>
      </w:r>
      <w:r>
        <w:t xml:space="preserve"> </w:t>
      </w:r>
      <w:r>
        <w:t xml:space="preserve">sobre el detalle técnico, y filtrado/interactividad para sostener la defensa en vivo.</w:t>
      </w:r>
    </w:p>
    <w:bookmarkEnd w:id="18"/>
    <w:bookmarkStart w:id="19" w:name="referencias"/>
    <w:p>
      <w:pPr>
        <w:pStyle w:val="Heading3"/>
      </w:pPr>
      <w:r>
        <w:t xml:space="preserve">2.8 Referencias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Kechinov, M.</w:t>
      </w:r>
      <w:r>
        <w:t xml:space="preserve"> </w:t>
      </w:r>
      <w:r>
        <w:rPr>
          <w:i/>
          <w:iCs/>
        </w:rPr>
        <w:t xml:space="preserve">eCommerce behavior data from multi category store</w:t>
      </w:r>
      <w:r>
        <w:t xml:space="preserve"> </w:t>
      </w:r>
      <w:r>
        <w:t xml:space="preserve">(REES46), Kaggle.</w:t>
      </w:r>
      <w:r>
        <w:t xml:space="preserve"> </w:t>
      </w:r>
      <w:r>
        <w:rPr>
          <w:i/>
          <w:iCs/>
        </w:rPr>
        <w:t xml:space="preserve">[completar URL/fecha de acceso]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Aprendizaje Automático:</w:t>
      </w:r>
      <w:r>
        <w:t xml:space="preserve"> </w:t>
      </w:r>
      <w:r>
        <w:t xml:space="preserve">material del curso SI7009 (M. Terán, EAFIT, 2026) — destilado en</w:t>
      </w:r>
      <w:r>
        <w:t xml:space="preserve"> </w:t>
      </w:r>
      <w:r>
        <w:rPr>
          <w:rStyle w:val="VerbatimChar"/>
        </w:rPr>
        <w:t xml:space="preserve">docs/05_contexto_aprendizaje_automatico.md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Grandes Datos:</w:t>
      </w:r>
      <w:r>
        <w:t xml:space="preserve"> </w:t>
      </w:r>
      <w:r>
        <w:t xml:space="preserve">material del curso SI7006 — y</w:t>
      </w:r>
      <w:r>
        <w:t xml:space="preserve"> </w:t>
      </w:r>
      <w:r>
        <w:rPr>
          <w:rStyle w:val="VerbatimChar"/>
        </w:rPr>
        <w:t xml:space="preserve">docs/02_arquitectura_bigdata_y_databricks.md</w:t>
      </w:r>
      <w:r>
        <w:t xml:space="preserve"> </w:t>
      </w:r>
      <w:r>
        <w:t xml:space="preserve">(arquitectura, Medallion, Kappa, particionamiento).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Visualización:</w:t>
      </w:r>
      <w:r>
        <w:t xml:space="preserve"> </w:t>
      </w:r>
      <w:r>
        <w:t xml:space="preserve">material del curso SI7007 — destilado en</w:t>
      </w:r>
      <w:r>
        <w:t xml:space="preserve"> </w:t>
      </w:r>
      <w:r>
        <w:rPr>
          <w:rStyle w:val="VerbatimChar"/>
        </w:rPr>
        <w:t xml:space="preserve">docs/07_contexto_visualizacion.md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Herramientas/librerías:</w:t>
      </w:r>
      <w:r>
        <w:t xml:space="preserve"> </w:t>
      </w:r>
      <w:r>
        <w:t xml:space="preserve">scikit-learn, LightGBM/XGBoost, Optuna, Apache Spark + Delta Lake, MLflow, Power BI.</w:t>
      </w:r>
      <w:r>
        <w:t xml:space="preserve"> </w:t>
      </w:r>
      <w:r>
        <w:rPr>
          <w:i/>
          <w:iCs/>
        </w:rPr>
        <w:t xml:space="preserve">[completar versiones y citas]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(Referencias adicionales de PR-AUC, calibración, K-Means y diseño de experimentos a completar en la consolidación.)</w:t>
      </w:r>
    </w:p>
    <w:bookmarkEnd w:id="19"/>
    <w:bookmarkEnd w:id="20"/>
    <w:bookmarkStart w:id="40" w:name="desarrollo-metodológico-de-modelos-de-ml"/>
    <w:p>
      <w:pPr>
        <w:pStyle w:val="Heading2"/>
      </w:pPr>
      <w:r>
        <w:t xml:space="preserve">3. Desarrollo metodológico de modelos de ML</w:t>
      </w:r>
    </w:p>
    <w:bookmarkStart w:id="21" w:name="X03526d9f270ca3f7423f6e6c80b05264cfc5e4f"/>
    <w:p>
      <w:pPr>
        <w:pStyle w:val="Heading3"/>
      </w:pPr>
      <w:r>
        <w:t xml:space="preserve">3.1 Entendimiento del problema, pregunta de negocio e hipótesis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Pregunta de negocio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Pregunta de Oro</w:t>
      </w:r>
      <w:r>
        <w:t xml:space="preserve"> </w:t>
      </w:r>
      <w:r>
        <w:t xml:space="preserve">(doc 00 §1).</w:t>
      </w:r>
    </w:p>
    <w:p>
      <w:pPr>
        <w:pStyle w:val="Compact"/>
        <w:numPr>
          <w:ilvl w:val="0"/>
          <w:numId w:val="1003"/>
        </w:numPr>
      </w:pPr>
      <w:r>
        <w:t xml:space="preserve">Definición del target: unidad = sesión; positivo = la sesión contiene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Por qué propensión y NO uplift causal (datos observacionales, sin tratamiento).</w:t>
      </w:r>
      <w:r>
        <w:t xml:space="preserve"> </w:t>
      </w:r>
      <w:r>
        <w:rPr>
          <w:i/>
          <w:iCs/>
        </w:rPr>
        <w:t xml:space="preserve">(doc 00 §5.1, §5.3)</w:t>
      </w:r>
    </w:p>
    <w:bookmarkEnd w:id="21"/>
    <w:bookmarkStart w:id="25" w:name="análisis-exploratorio-de-datos-eda"/>
    <w:p>
      <w:pPr>
        <w:pStyle w:val="Heading3"/>
      </w:pPr>
      <w:r>
        <w:t xml:space="preserve">3.2 Análisis Exploratorio de Datos (EDA)</w:t>
      </w:r>
    </w:p>
    <w:p>
      <w:pPr>
        <w:pStyle w:val="FirstParagraph"/>
      </w:pPr>
      <w:r>
        <w:t xml:space="preserve">El EDA oficial (</w:t>
      </w:r>
      <w:r>
        <w:rPr>
          <w:rStyle w:val="VerbatimChar"/>
        </w:rPr>
        <w:t xml:space="preserve">notebooks/analysis/eda_ecommerce.ipynb</w:t>
      </w:r>
      <w:r>
        <w:t xml:space="preserve">) se ejecuta sobre las capas Silver/Gold mediante una capa de agregados en Spark que baja a pandas únicamente tablas resumen, de modo que ningún gráfico re-escanea los 14 GB. Todos los números de esta sección corresponden a la</w:t>
      </w:r>
      <w:r>
        <w:t xml:space="preserve"> </w:t>
      </w:r>
      <w:r>
        <w:rPr>
          <w:b/>
          <w:bCs/>
        </w:rPr>
        <w:t xml:space="preserve">base limpia</w:t>
      </w:r>
      <w:r>
        <w:t xml:space="preserve"> </w:t>
      </w:r>
      <w:r>
        <w:t xml:space="preserve">(con la ventana corrupta 14–17 de noviembre en cuarentena; ver §3.2.2).</w:t>
      </w:r>
    </w:p>
    <w:bookmarkStart w:id="22" w:name="entendimiento-de-los-datos"/>
    <w:p>
      <w:pPr>
        <w:pStyle w:val="Heading4"/>
      </w:pPr>
      <w:r>
        <w:t xml:space="preserve">3.2.1 Entendimiento de los datos</w:t>
      </w:r>
    </w:p>
    <w:p>
      <w:pPr>
        <w:pStyle w:val="FirstParagraph"/>
      </w:pPr>
      <w:r>
        <w:t xml:space="preserve">El dataset es</w:t>
      </w:r>
      <w:r>
        <w:t xml:space="preserve"> </w:t>
      </w:r>
      <w:r>
        <w:rPr>
          <w:b/>
          <w:bCs/>
        </w:rPr>
        <w:t xml:space="preserve">REES46</w:t>
      </w:r>
      <w:r>
        <w:t xml:space="preserve">, un</w:t>
      </w:r>
      <w:r>
        <w:t xml:space="preserve"> </w:t>
      </w:r>
      <w:r>
        <w:rPr>
          <w:i/>
          <w:iCs/>
        </w:rPr>
        <w:t xml:space="preserve">clickstream</w:t>
      </w:r>
      <w:r>
        <w:t xml:space="preserve"> </w:t>
      </w:r>
      <w:r>
        <w:t xml:space="preserve">multi-categoría de una tienda de e-commerce (Octubre–Noviembre 2019). Cada registro es un evento con esquema: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user_session</w:t>
      </w:r>
      <w:r>
        <w:t xml:space="preserve">. El volumen crudo es de ~14.5 GB (Octubre 5.5 GB + Noviembre 9 GB),</w:t>
      </w:r>
      <w:r>
        <w:t xml:space="preserve"> </w:t>
      </w:r>
      <w:r>
        <w:rPr>
          <w:b/>
          <w:bCs/>
        </w:rPr>
        <w:t xml:space="preserve">109.5 M de eventos</w:t>
      </w:r>
      <w:r>
        <w:t xml:space="preserve">.</w:t>
      </w:r>
    </w:p>
    <w:p>
      <w:pPr>
        <w:pStyle w:val="BodyText"/>
      </w:pPr>
      <w:r>
        <w:t xml:space="preserve">La unidad de análisis del proyecto es la</w:t>
      </w:r>
      <w:r>
        <w:t xml:space="preserve"> </w:t>
      </w:r>
      <w:r>
        <w:rPr>
          <w:b/>
          <w:bCs/>
        </w:rPr>
        <w:t xml:space="preserve">sesión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user_session</w:t>
      </w:r>
      <w:r>
        <w:t xml:space="preserve">): la tabla Gold tiene grano</w:t>
      </w:r>
      <w:r>
        <w:t xml:space="preserve"> </w:t>
      </w:r>
      <w:r>
        <w:rPr>
          <w:i/>
          <w:iCs/>
        </w:rPr>
        <w:t xml:space="preserve">1 fila = 1 sesión</w:t>
      </w:r>
      <w:r>
        <w:t xml:space="preserve">, con</w:t>
      </w:r>
      <w:r>
        <w:t xml:space="preserve"> </w:t>
      </w:r>
      <w:r>
        <w:rPr>
          <w:b/>
          <w:bCs/>
        </w:rPr>
        <w:t xml:space="preserve">22.99 M de sesiones</w:t>
      </w:r>
      <w:r>
        <w:t xml:space="preserve"> </w:t>
      </w:r>
      <w:r>
        <w:t xml:space="preserve">y una tasa de etiqueta (sesiones que contienen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) de</w:t>
      </w:r>
      <w:r>
        <w:t xml:space="preserve"> </w:t>
      </w:r>
      <w:r>
        <w:rPr>
          <w:b/>
          <w:bCs/>
        </w:rPr>
        <w:t xml:space="preserve">0.0610</w:t>
      </w:r>
      <w:r>
        <w:t xml:space="preserve"> </w:t>
      </w:r>
      <w:r>
        <w:t xml:space="preserve">sobre la base completa y</w:t>
      </w:r>
      <w:r>
        <w:t xml:space="preserve"> </w:t>
      </w:r>
      <w:r>
        <w:rPr>
          <w:b/>
          <w:bCs/>
        </w:rPr>
        <w:t xml:space="preserve">0.0597</w:t>
      </w:r>
      <w:r>
        <w:t xml:space="preserve"> </w:t>
      </w:r>
      <w:r>
        <w:t xml:space="preserve">sobre la base limpia. Tras la limpieza y la cuarentena quedan ~87.6 M de eventos /</w:t>
      </w:r>
      <w:r>
        <w:t xml:space="preserve"> </w:t>
      </w:r>
      <w:r>
        <w:rPr>
          <w:b/>
          <w:bCs/>
        </w:rPr>
        <w:t xml:space="preserve">56.76 M de unidades</w:t>
      </w:r>
      <w:r>
        <w:t xml:space="preserve"> </w:t>
      </w:r>
      <w:r>
        <w:t xml:space="preserve">producto-en-sesión.</w:t>
      </w:r>
    </w:p>
    <w:bookmarkEnd w:id="22"/>
    <w:bookmarkStart w:id="23" w:name="preparación-de-los-datos"/>
    <w:p>
      <w:pPr>
        <w:pStyle w:val="Heading4"/>
      </w:pPr>
      <w:r>
        <w:t xml:space="preserve">3.2.2 Preparación de los datos</w:t>
      </w:r>
    </w:p>
    <w:p>
      <w:pPr>
        <w:pStyle w:val="FirstParagraph"/>
      </w:pPr>
      <w:r>
        <w:t xml:space="preserve">La preparación se codifica íntegramente en el pipeline Medallion (no en el notebook de análisis): tipado, deduplicación, filtro</w:t>
      </w:r>
      <w:r>
        <w:t xml:space="preserve"> </w:t>
      </w:r>
      <w:r>
        <w:rPr>
          <w:rStyle w:val="VerbatimChar"/>
        </w:rPr>
        <w:t xml:space="preserve">price &gt; 0</w:t>
      </w:r>
      <w:r>
        <w:t xml:space="preserve">, reconstrucción de la sesión y</w:t>
      </w:r>
      <w:r>
        <w:t xml:space="preserve"> </w:t>
      </w:r>
      <w:r>
        <w:rPr>
          <w:b/>
          <w:bCs/>
        </w:rPr>
        <w:t xml:space="preserve">corte anti-fuga</w:t>
      </w:r>
      <w:r>
        <w:t xml:space="preserve"> </w:t>
      </w:r>
      <w:r>
        <w:t xml:space="preserve">(cada feature de la sesión se calcula usando solo el comportamiento</w:t>
      </w:r>
      <w:r>
        <w:t xml:space="preserve"> </w:t>
      </w:r>
      <w:r>
        <w:rPr>
          <w:b/>
          <w:bCs/>
        </w:rPr>
        <w:t xml:space="preserve">previo</w:t>
      </w:r>
      <w:r>
        <w:t xml:space="preserve"> </w:t>
      </w:r>
      <w:r>
        <w:t xml:space="preserve">al primer</w:t>
      </w:r>
      <w:r>
        <w:t xml:space="preserve"> </w:t>
      </w:r>
      <w:r>
        <w:rPr>
          <w:rStyle w:val="VerbatimChar"/>
        </w:rPr>
        <w:t xml:space="preserve">cart</w:t>
      </w:r>
      <w:r>
        <w:t xml:space="preserve">/</w:t>
      </w:r>
      <w:r>
        <w:rPr>
          <w:rStyle w:val="VerbatimChar"/>
        </w:rPr>
        <w:t xml:space="preserve">purchase</w:t>
      </w:r>
      <w:r>
        <w:t xml:space="preserve">, de modo que el modelo nunca observa información posterior al evento que define la etiqueta).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Calidad de datos — cuarentena de la ventana 14–17 nov.</w:t>
      </w:r>
      <w:r>
        <w:t xml:space="preserve"> </w:t>
      </w:r>
      <w:r>
        <w:t xml:space="preserve">Se detectó una ventana corrupta con un criterio doble (etiqueta rota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volumen de eventos anómalo): el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está roto el 15–17 (15-nov registra 0 compras pese a ~467 k carritos; el backlog se vuelca el 16–17), y el 14-nov presenta un volcado de eventos (2.86 M views / 165 k carts, por encima del propio Black Friday) con conversión a la mitad (0.77 %). Estos días se marcan con</w:t>
      </w:r>
      <w:r>
        <w:t xml:space="preserve"> </w:t>
      </w:r>
      <w:r>
        <w:rPr>
          <w:rStyle w:val="VerbatimChar"/>
        </w:rPr>
        <w:t xml:space="preserve">label_window_corrupt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excluyen tanto de entrenamiento como de evaluación</w:t>
      </w:r>
      <w:r>
        <w:t xml:space="preserve">. El 13-nov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cuarentena (volumen normal). El hallazgo coincide con un problema reportado por la comunidad del dataset.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Taxonomía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"Unknown"</w:t>
      </w:r>
      <w:r>
        <w:rPr>
          <w:b/>
          <w:bCs/>
        </w:rP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es limpio y completo, pero ~32 % de los eventos tienen la macro-categoría como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y no es re-derivable (0 de 413 ids con macro desconocida la tienen conocida en otra fila). Se mantiene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como categoría legítima; para el modelado se usa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(mejor señal que el string macro) y para el tablero se etiqueta como</w:t>
      </w:r>
      <w:r>
        <w:t xml:space="preserve"> </w:t>
      </w:r>
      <w:r>
        <w:rPr>
          <w:i/>
          <w:iCs/>
        </w:rPr>
        <w:t xml:space="preserve">“Sin taxonomía”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Outliers de precio.</w:t>
      </w:r>
      <w:r>
        <w:t xml:space="preserve"> </w:t>
      </w:r>
      <w:r>
        <w:t xml:space="preserve">No los hay en sentido estricto: el precio está</w:t>
      </w:r>
      <w:r>
        <w:t xml:space="preserve"> </w:t>
      </w:r>
      <w:r>
        <w:rPr>
          <w:b/>
          <w:bCs/>
        </w:rPr>
        <w:t xml:space="preserve">acotado en la fuente</w:t>
      </w:r>
      <w:r>
        <w:t xml:space="preserve"> </w:t>
      </w:r>
      <w:r>
        <w:t xml:space="preserve">(p99.9 = 2562, máximo = 2574), por lo que no se winsoriza. Esto refuerza el hallazgo de que el precio no es el freno de la conversión.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Sesiones-bot.</w:t>
      </w:r>
      <w:r>
        <w:t xml:space="preserve"> </w:t>
      </w:r>
      <w:r>
        <w:t xml:space="preserve">Cola despreciable (sesiones con &gt; 200 eventos = 0.002 %); no ameritan un tratamiento especial.</w:t>
      </w:r>
    </w:p>
    <w:bookmarkEnd w:id="23"/>
    <w:bookmarkStart w:id="24" w:name="análisis-descriptivo-e-insights"/>
    <w:p>
      <w:pPr>
        <w:pStyle w:val="Heading4"/>
      </w:pPr>
      <w:r>
        <w:t xml:space="preserve">3.2.3 Análisis descriptivo e insights</w:t>
      </w:r>
    </w:p>
    <w:p>
      <w:pPr>
        <w:pStyle w:val="FirstParagraph"/>
      </w:pPr>
      <w:r>
        <w:rPr>
          <w:b/>
          <w:bCs/>
        </w:rPr>
        <w:t xml:space="preserve">Funnel sobre la base limpia (unidad = producto-en-sesión):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rPr>
          <w:b/>
          <w:bCs/>
        </w:rPr>
        <w:t xml:space="preserve">3.86 %</w:t>
      </w:r>
      <w:r>
        <w:t xml:space="preserve">,</w:t>
      </w:r>
      <w:r>
        <w:t xml:space="preserve"> </w:t>
      </w:r>
      <w:r>
        <w:rPr>
          <w:b/>
          <w:bCs/>
        </w:rPr>
        <w:t xml:space="preserve">conversión 2.27 %</w:t>
      </w:r>
      <w:r>
        <w:t xml:space="preserve">, cierre 58.81 % y</w:t>
      </w:r>
      <w:r>
        <w:t xml:space="preserve"> </w:t>
      </w:r>
      <w:r>
        <w:rPr>
          <w:b/>
          <w:bCs/>
        </w:rPr>
        <w:t xml:space="preserve">abandono 41.19 %</w:t>
      </w:r>
      <w:r>
        <w:t xml:space="preserve"> </w:t>
      </w:r>
      <w:r>
        <w:t xml:space="preserve">(56.76 M unidades; 903 k carritos abandonados; ~$250.4 M en juego).</w:t>
      </w:r>
      <w:r>
        <w:t xml:space="preserve"> </w:t>
      </w:r>
      <w:r>
        <w:rPr>
          <w:i/>
          <w:iCs/>
        </w:rPr>
        <w:t xml:space="preserve">(La ventana corrupta inflaba el abandono a 51.7 % y deprimía el cierre a 48.3 %.)</w:t>
      </w:r>
    </w:p>
    <w:p>
      <w:pPr>
        <w:pStyle w:val="BodyText"/>
      </w:pPr>
      <w:r>
        <w:t xml:space="preserve">El negocio es la</w:t>
      </w:r>
      <w:r>
        <w:t xml:space="preserve"> </w:t>
      </w:r>
      <w:r>
        <w:rPr>
          <w:b/>
          <w:bCs/>
        </w:rPr>
        <w:t xml:space="preserve">electrónica</w:t>
      </w:r>
      <w:r>
        <w:t xml:space="preserve">: conversión 3.58 %, el mayor volumen (20.03 M unidades) y el mayor pool de carritos abandonados (~$187.1 M de los $250.4 M totales). La concentración del revenue es extrema:</w:t>
      </w:r>
      <w:r>
        <w:t xml:space="preserve"> </w:t>
      </w:r>
      <w:r>
        <w:rPr>
          <w:b/>
          <w:bCs/>
        </w:rPr>
        <w:t xml:space="preserve">electronics 76.9 %</w:t>
      </w:r>
      <w:r>
        <w:t xml:space="preserve">, top-3 categorías 87.3 %, y el 50 % del revenue lo generan apenas</w:t>
      </w:r>
      <w:r>
        <w:t xml:space="preserve"> </w:t>
      </w:r>
      <w:r>
        <w:rPr>
          <w:b/>
          <w:bCs/>
        </w:rPr>
        <w:t xml:space="preserve">50 productos (0.1 %)</w:t>
      </w:r>
      <w:r>
        <w:t xml:space="preserve">.</w:t>
      </w:r>
    </w:p>
    <w:p>
      <w:pPr>
        <w:pStyle w:val="BodyText"/>
      </w:pPr>
      <w:r>
        <w:t xml:space="preserve">De aquí salen</w:t>
      </w:r>
      <w:r>
        <w:t xml:space="preserve"> </w:t>
      </w:r>
      <w:r>
        <w:rPr>
          <w:b/>
          <w:bCs/>
        </w:rPr>
        <w:t xml:space="preserve">dos palancas de negocio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Recuperar carritos de alta intención que no cierran</w:t>
      </w:r>
      <w:r>
        <w:t xml:space="preserve"> </w:t>
      </w:r>
      <w:r>
        <w:t xml:space="preserve">(electrónica; Samsung + Apple concentran el 68.6 % de los carritos de electrónica, con abandono ~39–40 %).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 Retener al núcleo recurrente</w:t>
      </w:r>
      <w:r>
        <w:t xml:space="preserve">: el 35.7 % de compradores genera el 73.7 % del revenue, con ticket recurrente ($1,460) muy superior al one-time ($289) y una segunda compra a 2.9 días de mediana.</w:t>
      </w:r>
    </w:p>
    <w:p>
      <w:pPr>
        <w:pStyle w:val="BodyText"/>
      </w:pPr>
      <w:r>
        <w:rPr>
          <w:b/>
          <w:bCs/>
        </w:rPr>
        <w:t xml:space="preserve">Insights para el modelado (clave y contraintuitivos):</w:t>
      </w:r>
      <w:r>
        <w:t xml:space="preserve"> </w:t>
      </w:r>
      <w:r>
        <w:t xml:space="preserve">el precio</w:t>
      </w:r>
      <w:r>
        <w:t xml:space="preserve"> </w:t>
      </w:r>
      <w:r>
        <w:rPr>
          <w:b/>
          <w:bCs/>
        </w:rPr>
        <w:t xml:space="preserve">no es el freno</w:t>
      </w:r>
      <w:r>
        <w:t xml:space="preserve"> </w:t>
      </w:r>
      <w:r>
        <w:t xml:space="preserve">y la decisión es casi inmediata (mediana 2.2 min). Las features conductuales tienen correlación</w:t>
      </w:r>
      <w:r>
        <w:t xml:space="preserve"> </w:t>
      </w:r>
      <w:r>
        <w:rPr>
          <w:b/>
          <w:bCs/>
        </w:rPr>
        <w:t xml:space="preserve">débil y negativa</w:t>
      </w:r>
      <w:r>
        <w:t xml:space="preserve"> </w:t>
      </w:r>
      <w:r>
        <w:t xml:space="preserve">con la compra —los compradores navegan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y deciden rápido— y existe</w:t>
      </w:r>
      <w:r>
        <w:t xml:space="preserve"> </w:t>
      </w:r>
      <w:r>
        <w:rPr>
          <w:b/>
          <w:bCs/>
        </w:rPr>
        <w:t xml:space="preserve">multicolinealidad</w:t>
      </w:r>
      <w:r>
        <w:t xml:space="preserve"> </w:t>
      </w:r>
      <w:r>
        <w:t xml:space="preserve">alta (</w:t>
      </w:r>
      <w:r>
        <w:rPr>
          <w:rStyle w:val="VerbatimChar"/>
        </w:rPr>
        <w:t xml:space="preserve">total_views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distinct_products_viewed</w:t>
      </w:r>
      <w:r>
        <w:t xml:space="preserve">, corr 0.92). La conclusión metodológica es que el poder predictivo</w:t>
      </w:r>
      <w:r>
        <w:t xml:space="preserve"> </w:t>
      </w:r>
      <w:r>
        <w:rPr>
          <w:b/>
          <w:bCs/>
        </w:rPr>
        <w:t xml:space="preserve">no es lineal</w:t>
      </w:r>
      <w:r>
        <w:t xml:space="preserve"> </w:t>
      </w:r>
      <w:r>
        <w:t xml:space="preserve">(está en interacciones y no-linealidades), lo que justifica el salto de una logística baseline a un GBM (§3.3).</w:t>
      </w:r>
    </w:p>
    <w:p>
      <w:pPr>
        <w:pStyle w:val="BodyText"/>
      </w:pPr>
      <w:r>
        <w:rPr>
          <w:b/>
          <w:bCs/>
        </w:rPr>
        <w:t xml:space="preserve">Contexto temporal.</w:t>
      </w:r>
      <w:r>
        <w:t xml:space="preserve"> </w:t>
      </w:r>
      <w:r>
        <w:t xml:space="preserve">La divergencia Octubre→Noviembre es mayormente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(estacionalidad pre-fiestas), no un artefacto de limpieza; el Black Friday (29-nov) es un pico real pero modesto (~+30 %), y el pico ×6 del 17-nov era el artefacto de la ventana corrupta.</w:t>
      </w:r>
      <w:r>
        <w:t xml:space="preserve"> </w:t>
      </w:r>
      <w:r>
        <w:rPr>
          <w:i/>
          <w:iCs/>
        </w:rPr>
        <w:t xml:space="preserve">(Contexto de la comunidad, no oficial: tienda de Rusia/CIS, precios en USD,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event_time</w:t>
      </w:r>
      <w:r>
        <w:rPr>
          <w:i/>
          <w:iCs/>
        </w:rPr>
        <w:t xml:space="preserve"> </w:t>
      </w:r>
      <w:r>
        <w:rPr>
          <w:i/>
          <w:iCs/>
        </w:rPr>
        <w:t xml:space="preserve">en UTC.)</w:t>
      </w:r>
    </w:p>
    <w:bookmarkEnd w:id="24"/>
    <w:bookmarkEnd w:id="25"/>
    <w:bookmarkStart w:id="30" w:name="X090e66b8a31f99dbcf446a94eb5ee9dae675969"/>
    <w:p>
      <w:pPr>
        <w:pStyle w:val="Heading3"/>
      </w:pPr>
      <w:r>
        <w:t xml:space="preserve">3.3 Selección de modelos, Ingeniería de Características, Entrenamiento, Evaluación</w:t>
      </w:r>
    </w:p>
    <w:bookmarkStart w:id="26" w:name="X3e9a7366871240a78b8dd0dfb84968400fe9902"/>
    <w:p>
      <w:pPr>
        <w:pStyle w:val="Heading4"/>
      </w:pPr>
      <w:r>
        <w:t xml:space="preserve">3.3.1 Características e Ingeniería de Características</w:t>
      </w:r>
    </w:p>
    <w:p>
      <w:pPr>
        <w:pStyle w:val="Compact"/>
        <w:numPr>
          <w:ilvl w:val="0"/>
          <w:numId w:val="1005"/>
        </w:numPr>
      </w:pPr>
      <w:r>
        <w:t xml:space="preserve">Set de 22 columnas de la Gold (anti-fuga, pre-corte).</w:t>
      </w:r>
      <w:r>
        <w:t xml:space="preserve"> </w:t>
      </w:r>
      <w:r>
        <w:rPr>
          <w:i/>
          <w:iCs/>
        </w:rPr>
        <w:t xml:space="preserve">(doc 00 §13)</w:t>
      </w:r>
    </w:p>
    <w:p>
      <w:pPr>
        <w:pStyle w:val="Compact"/>
        <w:numPr>
          <w:ilvl w:val="0"/>
          <w:numId w:val="1005"/>
        </w:numPr>
      </w:pPr>
      <w:r>
        <w:t xml:space="preserve">FE: decisividad/ritmo (</w:t>
      </w:r>
      <w:r>
        <w:rPr>
          <w:rStyle w:val="VerbatimChar"/>
        </w:rPr>
        <w:t xml:space="preserve">revisit_intensity</w:t>
      </w:r>
      <w:r>
        <w:t xml:space="preserve">…), codificación cíclica de hora, manejo de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.</w:t>
      </w:r>
      <w:r>
        <w:t xml:space="preserve"> </w:t>
      </w:r>
      <w:r>
        <w:rPr>
          <w:i/>
          <w:iCs/>
        </w:rPr>
        <w:t xml:space="preserve">(nb 02 §4)</w:t>
      </w:r>
    </w:p>
    <w:p>
      <w:pPr>
        <w:pStyle w:val="Compact"/>
        <w:numPr>
          <w:ilvl w:val="0"/>
          <w:numId w:val="1005"/>
        </w:numPr>
      </w:pPr>
      <w:r>
        <w:t xml:space="preserve">Decisiones: features excluidas (IDs),</w:t>
      </w:r>
      <w:r>
        <w:t xml:space="preserve"> </w:t>
      </w:r>
      <w:r>
        <w:rPr>
          <w:rStyle w:val="VerbatimChar"/>
        </w:rPr>
        <w:t xml:space="preserve">sin_navegacion_previa</w:t>
      </w:r>
      <w:r>
        <w:t xml:space="preserve">, multicolinealidad.</w:t>
      </w:r>
      <w:r>
        <w:t xml:space="preserve"> </w:t>
      </w:r>
      <w:r>
        <w:rPr>
          <w:i/>
          <w:iCs/>
        </w:rPr>
        <w:t xml:space="preserve">(doc 00 §13, revisión modeling)</w:t>
      </w:r>
    </w:p>
    <w:bookmarkEnd w:id="26"/>
    <w:bookmarkStart w:id="27" w:name="modelos-selección"/>
    <w:p>
      <w:pPr>
        <w:pStyle w:val="Heading4"/>
      </w:pPr>
      <w:r>
        <w:t xml:space="preserve">3.3.2 Modelos (selección)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Supervisado — propensión:</w:t>
      </w:r>
      <w:r>
        <w:t xml:space="preserve"> </w:t>
      </w:r>
      <w:r>
        <w:t xml:space="preserve">baseline trivial (Dummy) → logística → comparación de familias (RF/XGB/LightGBM) → LightGBM.</w:t>
      </w:r>
      <w:r>
        <w:t xml:space="preserve"> </w:t>
      </w:r>
      <w:r>
        <w:rPr>
          <w:i/>
          <w:iCs/>
        </w:rPr>
        <w:t xml:space="preserve">(nb 02)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supervisado — clustering:</w:t>
      </w:r>
      <w:r>
        <w:t xml:space="preserve"> </w:t>
      </w:r>
      <w:r>
        <w:t xml:space="preserve">K-Means k=4 (por accionabilidad) + DBSCAN como contraste.</w:t>
      </w:r>
      <w:r>
        <w:t xml:space="preserve"> </w:t>
      </w:r>
      <w:r>
        <w:rPr>
          <w:i/>
          <w:iCs/>
        </w:rPr>
        <w:t xml:space="preserve">(nb 04)</w:t>
      </w:r>
    </w:p>
    <w:p>
      <w:pPr>
        <w:pStyle w:val="Compact"/>
        <w:numPr>
          <w:ilvl w:val="0"/>
          <w:numId w:val="1006"/>
        </w:numPr>
      </w:pPr>
      <w:r>
        <w:t xml:space="preserve">Justificación de cada elección (criterio defendible, no moda).</w:t>
      </w:r>
    </w:p>
    <w:bookmarkEnd w:id="27"/>
    <w:bookmarkStart w:id="28" w:name="entrenamiento"/>
    <w:p>
      <w:pPr>
        <w:pStyle w:val="Heading4"/>
      </w:pPr>
      <w:r>
        <w:t xml:space="preserve">3.3.3 Entrenamiento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Split temporal Opción C</w:t>
      </w:r>
      <w:r>
        <w:t xml:space="preserve"> </w:t>
      </w:r>
      <w:r>
        <w:t xml:space="preserve">(train Oct + Nov ≤23 / test 24–30 nov), con evidencia de drift/PSI.</w:t>
      </w:r>
      <w:r>
        <w:t xml:space="preserve"> </w:t>
      </w:r>
      <w:r>
        <w:rPr>
          <w:i/>
          <w:iCs/>
        </w:rPr>
        <w:t xml:space="preserve">(nb 03, doc 00 §17.3)</w:t>
      </w:r>
    </w:p>
    <w:p>
      <w:pPr>
        <w:pStyle w:val="Compact"/>
        <w:numPr>
          <w:ilvl w:val="0"/>
          <w:numId w:val="1007"/>
        </w:numPr>
      </w:pPr>
      <w:r>
        <w:t xml:space="preserve">Cuarentena 14–17 aplicada a train y test;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solo en CV interna; desbalanceo con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.</w:t>
      </w:r>
      <w:r>
        <w:t xml:space="preserve"> </w:t>
      </w:r>
      <w:r>
        <w:rPr>
          <w:i/>
          <w:iCs/>
        </w:rPr>
        <w:t xml:space="preserve">(nb 02)</w:t>
      </w:r>
    </w:p>
    <w:p>
      <w:pPr>
        <w:pStyle w:val="Compact"/>
        <w:numPr>
          <w:ilvl w:val="0"/>
          <w:numId w:val="1007"/>
        </w:numPr>
      </w:pPr>
      <w:r>
        <w:t xml:space="preserve">HPO con Optuna optimizando PR-AUC en CV (≥50 trials para el fit final).</w:t>
      </w:r>
      <w:r>
        <w:t xml:space="preserve"> </w:t>
      </w:r>
      <w:r>
        <w:rPr>
          <w:i/>
          <w:iCs/>
        </w:rPr>
        <w:t xml:space="preserve">(nb 02 §8)</w:t>
      </w:r>
    </w:p>
    <w:bookmarkEnd w:id="28"/>
    <w:bookmarkStart w:id="29" w:name="evaluación"/>
    <w:p>
      <w:pPr>
        <w:pStyle w:val="Heading4"/>
      </w:pPr>
      <w:r>
        <w:t xml:space="preserve">3.3.4 Evaluación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PR-AUC + Brier (calibración), nunca accuracy. Reporte con/sin Black Friday.</w:t>
      </w:r>
      <w:r>
        <w:t xml:space="preserve"> </w:t>
      </w:r>
      <w:r>
        <w:rPr>
          <w:i/>
          <w:iCs/>
        </w:rPr>
        <w:t xml:space="preserve">(nb 02 §9–10)</w:t>
      </w:r>
    </w:p>
    <w:p>
      <w:pPr>
        <w:pStyle w:val="Compact"/>
        <w:numPr>
          <w:ilvl w:val="0"/>
          <w:numId w:val="1008"/>
        </w:numPr>
      </w:pPr>
      <w:r>
        <w:t xml:space="preserve">Curva de calibración, curva PR, umbral como política operativa (no 0.5).</w:t>
      </w:r>
      <w:r>
        <w:t xml:space="preserve"> </w:t>
      </w:r>
      <w:r>
        <w:rPr>
          <w:i/>
          <w:iCs/>
        </w:rPr>
        <w:t xml:space="preserve">(nb 02 §9, §11)</w:t>
      </w:r>
    </w:p>
    <w:p>
      <w:pPr>
        <w:pStyle w:val="Compact"/>
        <w:numPr>
          <w:ilvl w:val="0"/>
          <w:numId w:val="1008"/>
        </w:numPr>
      </w:pPr>
      <w:r>
        <w:t xml:space="preserve">Importancia por permutación → top features (</w:t>
      </w:r>
      <w:r>
        <w:rPr>
          <w:rStyle w:val="VerbatimChar"/>
        </w:rPr>
        <w:t xml:space="preserve">max_price_viewed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electronics_view_share</w:t>
      </w:r>
      <w:r>
        <w:t xml:space="preserve">).</w:t>
      </w:r>
      <w:r>
        <w:t xml:space="preserve"> </w:t>
      </w:r>
      <w:r>
        <w:rPr>
          <w:i/>
          <w:iCs/>
        </w:rPr>
        <w:t xml:space="preserve">(nb 02 §12)</w:t>
      </w:r>
    </w:p>
    <w:p>
      <w:pPr>
        <w:pStyle w:val="Compact"/>
        <w:numPr>
          <w:ilvl w:val="0"/>
          <w:numId w:val="1008"/>
        </w:numPr>
      </w:pPr>
      <w:r>
        <w:t xml:space="preserve">Clustering: perfilado,</w:t>
      </w:r>
      <w:r>
        <w:t xml:space="preserve"> </w:t>
      </w:r>
      <w:r>
        <w:t xml:space="preserve">“cluster≠segmento”</w:t>
      </w:r>
      <w:r>
        <w:t xml:space="preserve">, validación (silhouette + estabilidad).</w:t>
      </w:r>
      <w:r>
        <w:t xml:space="preserve"> </w:t>
      </w:r>
      <w:r>
        <w:rPr>
          <w:i/>
          <w:iCs/>
        </w:rPr>
        <w:t xml:space="preserve">(nb 04 §5, §9)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cruce clasificador × clustering</w:t>
      </w:r>
      <w:r>
        <w:t xml:space="preserve"> </w:t>
      </w:r>
      <w:r>
        <w:t xml:space="preserve">→ segmento objetivo C0 (el insight).</w:t>
      </w:r>
      <w:r>
        <w:t xml:space="preserve"> </w:t>
      </w:r>
      <w:r>
        <w:rPr>
          <w:i/>
          <w:iCs/>
        </w:rPr>
        <w:t xml:space="preserve">(nb 04 §6, §9)</w:t>
      </w:r>
    </w:p>
    <w:bookmarkEnd w:id="29"/>
    <w:bookmarkEnd w:id="30"/>
    <w:bookmarkStart w:id="31" w:name="Xf01f8c89a650286b8ae4cadd3d4b39bb228065c"/>
    <w:p>
      <w:pPr>
        <w:pStyle w:val="Heading3"/>
      </w:pPr>
      <w:r>
        <w:t xml:space="preserve">3.4 Análisis y conclusiones del componente de ML</w:t>
      </w:r>
    </w:p>
    <w:p>
      <w:pPr>
        <w:pStyle w:val="Compact"/>
        <w:numPr>
          <w:ilvl w:val="0"/>
          <w:numId w:val="1009"/>
        </w:numPr>
      </w:pPr>
      <w:r>
        <w:t xml:space="preserve">Lectura del resultado (qué predice la compra; nivel de precio y foco electrónica).</w:t>
      </w:r>
    </w:p>
    <w:p>
      <w:pPr>
        <w:pStyle w:val="Compact"/>
        <w:numPr>
          <w:ilvl w:val="0"/>
          <w:numId w:val="1009"/>
        </w:numPr>
      </w:pPr>
      <w:r>
        <w:t xml:space="preserve">Conexión con la decisión de negocio: segmento C0 → A/B test.</w:t>
      </w:r>
    </w:p>
    <w:p>
      <w:pPr>
        <w:pStyle w:val="Compact"/>
        <w:numPr>
          <w:ilvl w:val="0"/>
          <w:numId w:val="1009"/>
        </w:numPr>
      </w:pPr>
      <w:r>
        <w:t xml:space="preserve">Limitaciones y trabajo futuro (historia de usuario, uplift como extensión).</w:t>
      </w:r>
    </w:p>
    <w:bookmarkEnd w:id="31"/>
    <w:bookmarkStart w:id="39" w:name="cierre-del-alcance-diseño-del-ab-test"/>
    <w:p>
      <w:pPr>
        <w:pStyle w:val="Heading3"/>
      </w:pPr>
      <w:r>
        <w:t xml:space="preserve">3.5 Cierre del alcance: diseño del A/B test</w:t>
      </w:r>
    </w:p>
    <w:bookmarkStart w:id="32" w:name="X52b1ddbfa11efd1bcf2fe861496798e9588405f"/>
    <w:p>
      <w:pPr>
        <w:pStyle w:val="Heading4"/>
      </w:pPr>
      <w:r>
        <w:t xml:space="preserve">3.5.1 Por qué un diseño de A/B y no una estimación de</w:t>
      </w:r>
      <w:r>
        <w:t xml:space="preserve"> </w:t>
      </w:r>
      <w:r>
        <w:rPr>
          <w:i/>
          <w:iCs/>
        </w:rPr>
        <w:t xml:space="preserve">uplift</w:t>
      </w:r>
    </w:p>
    <w:p>
      <w:pPr>
        <w:pStyle w:val="FirstParagraph"/>
      </w:pPr>
      <w:r>
        <w:t xml:space="preserve">La propuesta original prometía un modelo de</w:t>
      </w:r>
      <w:r>
        <w:t xml:space="preserve"> </w:t>
      </w:r>
      <w:r>
        <w:rPr>
          <w:i/>
          <w:iCs/>
        </w:rPr>
        <w:t xml:space="preserve">uplift</w:t>
      </w:r>
      <w:r>
        <w:t xml:space="preserve"> </w:t>
      </w:r>
      <w:r>
        <w:t xml:space="preserve">(efecto incremental de un incentivo).</w:t>
      </w:r>
      <w:r>
        <w:t xml:space="preserve"> </w:t>
      </w:r>
      <w:r>
        <w:rPr>
          <w:b/>
          <w:bCs/>
        </w:rPr>
        <w:t xml:space="preserve">No es estimable con estos datos</w:t>
      </w:r>
      <w:r>
        <w:t xml:space="preserve">: el uplift mide un efecto causal y requiere un grupo</w:t>
      </w:r>
      <w:r>
        <w:t xml:space="preserve"> </w:t>
      </w:r>
      <w:r>
        <w:rPr>
          <w:b/>
          <w:bCs/>
        </w:rPr>
        <w:t xml:space="preserve">tratado</w:t>
      </w:r>
      <w:r>
        <w:t xml:space="preserve"> </w:t>
      </w:r>
      <w:r>
        <w:t xml:space="preserve">y uno de</w:t>
      </w:r>
      <w:r>
        <w:t xml:space="preserve"> </w:t>
      </w:r>
      <w:r>
        <w:rPr>
          <w:b/>
          <w:bCs/>
        </w:rPr>
        <w:t xml:space="preserve">control</w:t>
      </w:r>
      <w:r>
        <w:t xml:space="preserve">; el dataset es</w:t>
      </w:r>
      <w:r>
        <w:t xml:space="preserve"> </w:t>
      </w:r>
      <w:r>
        <w:rPr>
          <w:b/>
          <w:bCs/>
        </w:rPr>
        <w:t xml:space="preserve">observacional</w:t>
      </w:r>
      <w:r>
        <w:t xml:space="preserve"> </w:t>
      </w:r>
      <w:r>
        <w:t xml:space="preserve">y no contiene ninguna variable de tratamiento. Por eso el proyecto no estima causalidad: entrega el</w:t>
      </w:r>
      <w:r>
        <w:t xml:space="preserve"> </w:t>
      </w:r>
      <w:r>
        <w:rPr>
          <w:b/>
          <w:bCs/>
        </w:rPr>
        <w:t xml:space="preserve">diseño del experimento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generaría</w:t>
      </w:r>
      <w:r>
        <w:t xml:space="preserve"> </w:t>
      </w:r>
      <w:r>
        <w:t xml:space="preserve">esos datos y permitiría medir el efecto. De hecho, el A/B es precisamente el mecanismo que produce los pares tratamiento/control sobre los que, en una segunda fase, sí podría entrenarse un modelo de uplift. El clasificador de propensión (§3.3) no reemplaza al experimento:</w:t>
      </w:r>
      <w:r>
        <w:t xml:space="preserve"> </w:t>
      </w:r>
      <w:r>
        <w:rPr>
          <w:b/>
          <w:bCs/>
        </w:rPr>
        <w:t xml:space="preserve">selecciona a quién vale la pena exponer al incentivo</w:t>
      </w:r>
      <w:r>
        <w:t xml:space="preserve">; el experimento mide si el incentivo funciona.</w:t>
      </w:r>
    </w:p>
    <w:bookmarkEnd w:id="32"/>
    <w:bookmarkStart w:id="33" w:name="objetivo-e-hipótesis"/>
    <w:p>
      <w:pPr>
        <w:pStyle w:val="Heading4"/>
      </w:pPr>
      <w:r>
        <w:t xml:space="preserve">3.5.2 Objetivo e hipótesis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¿un incentivo inmediato (p. ej. envío gratis o un descuento por tiempo limitado) mostrado a visitantes de</w:t>
      </w:r>
      <w:r>
        <w:t xml:space="preserve"> </w:t>
      </w:r>
      <w:r>
        <w:rPr>
          <w:b/>
          <w:bCs/>
        </w:rPr>
        <w:t xml:space="preserve">alta intención de electrónica</w:t>
      </w:r>
      <w:r>
        <w:t xml:space="preserve"> </w:t>
      </w:r>
      <w:r>
        <w:t xml:space="preserve">que están por abandonar,</w:t>
      </w:r>
      <w:r>
        <w:t xml:space="preserve"> </w:t>
      </w:r>
      <w:r>
        <w:rPr>
          <w:b/>
          <w:bCs/>
        </w:rPr>
        <w:t xml:space="preserve">aumenta la conversión</w:t>
      </w:r>
      <w:r>
        <w:t xml:space="preserve"> </w:t>
      </w:r>
      <w:r>
        <w:t xml:space="preserve">sin destruir el margen?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el incentivo no cambia la tasa de conversión del grupo objetivo (</w:t>
      </w:r>
      <w:r>
        <w:rPr>
          <w:rStyle w:val="VerbatimChar"/>
        </w:rPr>
        <w:t xml:space="preserve">p_tratamiento = p_control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H₁:</w:t>
      </w:r>
      <w:r>
        <w:t xml:space="preserve"> </w:t>
      </w:r>
      <w:r>
        <w:t xml:space="preserve">el incentivo aumenta la conversión (</w:t>
      </w:r>
      <w:r>
        <w:rPr>
          <w:rStyle w:val="VerbatimChar"/>
        </w:rPr>
        <w:t xml:space="preserve">p_tratamiento &gt; p_control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Prueba:</w:t>
      </w:r>
      <w:r>
        <w:t xml:space="preserve"> </w:t>
      </w:r>
      <w:r>
        <w:t xml:space="preserve">comparación de dos proporciones (z-test) sobre la métrica primaria; intervalo de confianza sobre el</w:t>
      </w:r>
      <w:r>
        <w:t xml:space="preserve"> </w:t>
      </w:r>
      <w:r>
        <w:rPr>
          <w:i/>
          <w:iCs/>
        </w:rPr>
        <w:t xml:space="preserve">lift</w:t>
      </w:r>
      <w:r>
        <w:t xml:space="preserve">.</w:t>
      </w:r>
    </w:p>
    <w:bookmarkEnd w:id="33"/>
    <w:bookmarkStart w:id="34" w:name="Xa27c1c232358e48dc85c2f59d5ed871f9ef9e1b"/>
    <w:p>
      <w:pPr>
        <w:pStyle w:val="Heading4"/>
      </w:pPr>
      <w:r>
        <w:t xml:space="preserve">3.5.3 Población objetivo y targeting con el modelo</w:t>
      </w:r>
    </w:p>
    <w:p>
      <w:pPr>
        <w:pStyle w:val="FirstParagraph"/>
      </w:pPr>
      <w:r>
        <w:t xml:space="preserve">El experimento se restringe al</w:t>
      </w:r>
      <w:r>
        <w:t xml:space="preserve"> </w:t>
      </w:r>
      <w:r>
        <w:rPr>
          <w:b/>
          <w:bCs/>
        </w:rPr>
        <w:t xml:space="preserve">segmento C3</w:t>
      </w:r>
      <w:r>
        <w:t xml:space="preserve"> </w:t>
      </w:r>
      <w:r>
        <w:t xml:space="preserve">—</w:t>
      </w:r>
      <w:r>
        <w:t xml:space="preserve">“comprador de electrónica de precio medio”</w:t>
      </w:r>
      <w:r>
        <w:t xml:space="preserve">:</w:t>
      </w:r>
      <w:r>
        <w:t xml:space="preserve"> </w:t>
      </w:r>
      <w:r>
        <w:rPr>
          <w:b/>
          <w:bCs/>
        </w:rPr>
        <w:t xml:space="preserve">29.3 % del tráfico</w:t>
      </w:r>
      <w:r>
        <w:t xml:space="preserve">,</w:t>
      </w:r>
      <w:r>
        <w:t xml:space="preserve"> </w:t>
      </w:r>
      <w:r>
        <w:rPr>
          <w:b/>
          <w:bCs/>
        </w:rPr>
        <w:t xml:space="preserve">conversión 8.4 %</w:t>
      </w:r>
      <w:r>
        <w:t xml:space="preserve"> </w:t>
      </w:r>
      <w:r>
        <w:t xml:space="preserve">(la más alta de todos los clusters), foco casi total en electrónica (~99 %) y ticket ~$257, que decide rápido (mediana ~12 min) (§3.3.4)—. Es el objetivo de mayor prioridad porque combina</w:t>
      </w:r>
      <w:r>
        <w:t xml:space="preserve"> </w:t>
      </w:r>
      <w:r>
        <w:rPr>
          <w:b/>
          <w:bCs/>
        </w:rPr>
        <w:t xml:space="preserve">la mayor propensión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volumen accionable</w:t>
      </w:r>
      <w:r>
        <w:t xml:space="preserve">; el cluster vecino C4 (</w:t>
      </w:r>
      <w:r>
        <w:t xml:space="preserve">“electrónica de alto valor”</w:t>
      </w:r>
      <w:r>
        <w:t xml:space="preserve">, ~$1,024, conversión 5.8 %) queda como segmento secundario para un incentivo de mayor valor. La oportunidad es grande:</w:t>
      </w:r>
      <w:r>
        <w:t xml:space="preserve"> </w:t>
      </w:r>
      <w:r>
        <w:rPr>
          <w:b/>
          <w:bCs/>
        </w:rPr>
        <w:t xml:space="preserve">el 91.6 % de C3 no compra</w:t>
      </w:r>
      <w:r>
        <w:t xml:space="preserve">, un pool amplio de compradores potenciales de alto valor recuperable. Dentro de C3, el</w:t>
      </w:r>
      <w:r>
        <w:t xml:space="preserve"> </w:t>
      </w:r>
      <w:r>
        <w:rPr>
          <w:b/>
          <w:bCs/>
        </w:rPr>
        <w:t xml:space="preserve">modelo de propensión</w:t>
      </w:r>
      <w:r>
        <w:t xml:space="preserve"> </w:t>
      </w:r>
      <w:r>
        <w:t xml:space="preserve">define el subconjunto elegible (probabilidad calibrada por encima del umbral operativo), de modo que el incentivo se gasta donde hay intención real y no en toda la base.</w:t>
      </w:r>
      <w:r>
        <w:t xml:space="preserve"> </w:t>
      </w:r>
      <w:r>
        <w:rPr>
          <w:i/>
          <w:iCs/>
        </w:rPr>
        <w:t xml:space="preserve">(Matiz honesto y defendible: targetear por alta propensión puede incluir</w:t>
      </w:r>
      <w:r>
        <w:rPr>
          <w:i/>
          <w:iCs/>
        </w:rPr>
        <w:t xml:space="preserve"> </w:t>
      </w:r>
      <w:r>
        <w:rPr>
          <w:i/>
          <w:iCs/>
        </w:rPr>
        <w:t xml:space="preserve">“compradores seguros”</w:t>
      </w:r>
      <w:r>
        <w:rPr>
          <w:i/>
          <w:iCs/>
        </w:rPr>
        <w:t xml:space="preserve"> </w:t>
      </w:r>
      <w:r>
        <w:rPr>
          <w:i/>
          <w:iCs/>
        </w:rPr>
        <w:t xml:space="preserve">que habrían comprado igual; el A/B mide el efecto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promedio</w:t>
      </w:r>
      <w:r>
        <w:rPr>
          <w:i/>
          <w:iCs/>
        </w:rPr>
        <w:t xml:space="preserve"> </w:t>
      </w:r>
      <w:r>
        <w:rPr>
          <w:i/>
          <w:iCs/>
        </w:rPr>
        <w:t xml:space="preserve">sobre el grupo tratado, y son justamente sus datos los que después permitirían distinguir a los persuadibles vía uplift. No invertimos el orden.)</w:t>
      </w:r>
    </w:p>
    <w:bookmarkEnd w:id="34"/>
    <w:bookmarkStart w:id="35" w:name="unidad-de-aleatorización-y-asignación"/>
    <w:p>
      <w:pPr>
        <w:pStyle w:val="Heading4"/>
      </w:pPr>
      <w:r>
        <w:t xml:space="preserve">3.5.4 Unidad de aleatorización y asignación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Unidad = visitante</w:t>
      </w:r>
      <w:r>
        <w:t xml:space="preserve"> </w:t>
      </w:r>
      <w:r>
        <w:t xml:space="preserve">(asignación</w:t>
      </w:r>
      <w:r>
        <w:t xml:space="preserve"> </w:t>
      </w:r>
      <w:r>
        <w:t xml:space="preserve">“pegajosa”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/cookie), no la sesión, para evitar que una misma persona vea ambas experiencias (contaminación) entre visitas.</w:t>
      </w:r>
    </w:p>
    <w:p>
      <w:pPr>
        <w:pStyle w:val="Compact"/>
        <w:numPr>
          <w:ilvl w:val="0"/>
          <w:numId w:val="1011"/>
        </w:numPr>
      </w:pPr>
      <w:r>
        <w:t xml:space="preserve">Asignación</w:t>
      </w:r>
      <w:r>
        <w:t xml:space="preserve"> </w:t>
      </w:r>
      <w:r>
        <w:rPr>
          <w:b/>
          <w:bCs/>
        </w:rPr>
        <w:t xml:space="preserve">50/50</w:t>
      </w:r>
      <w:r>
        <w:t xml:space="preserve"> </w:t>
      </w:r>
      <w:r>
        <w:t xml:space="preserve">aleatoria 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(experiencia actual, sin incentivo) y</w:t>
      </w:r>
      <w:r>
        <w:t xml:space="preserve"> </w:t>
      </w:r>
      <w:r>
        <w:rPr>
          <w:b/>
          <w:bCs/>
        </w:rPr>
        <w:t xml:space="preserve">Tratamiento</w:t>
      </w:r>
      <w:r>
        <w:t xml:space="preserve"> </w:t>
      </w:r>
      <w:r>
        <w:t xml:space="preserve">(incentivo). Un solo brazo de tratamiento para que el efecto sea atribuible; variantes de incentivo quedan como diseño multivariante futuro.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Validez:</w:t>
      </w:r>
      <w:r>
        <w:t xml:space="preserve"> </w:t>
      </w:r>
      <w:r>
        <w:t xml:space="preserve">test A/A previo + chequeo de</w:t>
      </w:r>
      <w:r>
        <w:t xml:space="preserve"> </w:t>
      </w:r>
      <w:r>
        <w:rPr>
          <w:i/>
          <w:iCs/>
        </w:rPr>
        <w:t xml:space="preserve">Sample Ratio Mismatch</w:t>
      </w:r>
      <w:r>
        <w:t xml:space="preserve"> </w:t>
      </w:r>
      <w:r>
        <w:t xml:space="preserve">(la división real debe ser ~50/50); horizonte</w:t>
      </w:r>
      <w:r>
        <w:t xml:space="preserve"> </w:t>
      </w:r>
      <w:r>
        <w:rPr>
          <w:b/>
          <w:bCs/>
        </w:rPr>
        <w:t xml:space="preserve">fijo</w:t>
      </w:r>
      <w:r>
        <w:t xml:space="preserve"> </w:t>
      </w:r>
      <w:r>
        <w:t xml:space="preserve">(o corrección secuencial) para no</w:t>
      </w:r>
      <w:r>
        <w:t xml:space="preserve"> </w:t>
      </w:r>
      <w:r>
        <w:t xml:space="preserve">“espiar”</w:t>
      </w:r>
      <w:r>
        <w:t xml:space="preserve"> </w:t>
      </w:r>
      <w:r>
        <w:t xml:space="preserve">y inflar el falso positivo.</w:t>
      </w:r>
    </w:p>
    <w:bookmarkEnd w:id="35"/>
    <w:bookmarkStart w:id="36" w:name="métricas"/>
    <w:p>
      <w:pPr>
        <w:pStyle w:val="Heading4"/>
      </w:pPr>
      <w:r>
        <w:t xml:space="preserve">3.5.5 Métricas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Primaria (OEC):</w:t>
      </w:r>
      <w:r>
        <w:t xml:space="preserve"> </w:t>
      </w:r>
      <w:r>
        <w:t xml:space="preserve">tasa de conversión por visitante (¿compró?).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Secundarias:</w:t>
      </w:r>
      <w:r>
        <w:t xml:space="preserve"> </w:t>
      </w:r>
      <w:r>
        <w:t xml:space="preserve">tasa de abandono de carrito, ingreso por visitante, ticket promedio.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Guardarraíl (no negociables):</w:t>
      </w:r>
      <w:r>
        <w:t xml:space="preserve"> </w:t>
      </w:r>
      <w:r>
        <w:rPr>
          <w:b/>
          <w:bCs/>
        </w:rPr>
        <w:t xml:space="preserve">margen/utilidad por visitante</w:t>
      </w:r>
      <w:r>
        <w:t xml:space="preserve"> </w:t>
      </w:r>
      <w:r>
        <w:t xml:space="preserve">(un descuento puede subir conversión y destruir margen) y tasa de devoluciones. El experimento solo</w:t>
      </w:r>
      <w:r>
        <w:t xml:space="preserve"> </w:t>
      </w:r>
      <w:r>
        <w:t xml:space="preserve">“gana”</w:t>
      </w:r>
      <w:r>
        <w:t xml:space="preserve"> </w:t>
      </w:r>
      <w:r>
        <w:t xml:space="preserve">si sube la primaria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romper el guardarraíl.</w:t>
      </w:r>
    </w:p>
    <w:bookmarkEnd w:id="36"/>
    <w:bookmarkStart w:id="37" w:name="tamaño-de-muestra-mde-y-duración"/>
    <w:p>
      <w:pPr>
        <w:pStyle w:val="Heading4"/>
      </w:pPr>
      <w:r>
        <w:t xml:space="preserve">3.5.6 Tamaño de muestra, MDE y duración</w:t>
      </w:r>
    </w:p>
    <w:p>
      <w:pPr>
        <w:pStyle w:val="FirstParagraph"/>
      </w:pPr>
      <w:r>
        <w:t xml:space="preserve">Línea base de C3: conversión</w:t>
      </w:r>
      <w:r>
        <w:t xml:space="preserve"> </w:t>
      </w:r>
      <w:r>
        <w:rPr>
          <w:b/>
          <w:bCs/>
        </w:rPr>
        <w:t xml:space="preserve">p₀ = 8.4 %</w:t>
      </w:r>
      <w:r>
        <w:t xml:space="preserve">. Con</w:t>
      </w:r>
      <w:r>
        <w:t xml:space="preserve"> </w:t>
      </w:r>
      <w:r>
        <w:rPr>
          <w:b/>
          <w:bCs/>
        </w:rPr>
        <w:t xml:space="preserve">α = 0.05 (bilateral)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potencia = 80 %</w:t>
      </w:r>
      <w:r>
        <w:t xml:space="preserve">, el tamaño por brazo según el efecto mínimo detectable (MDE) 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MDE</w:t>
            </w:r>
          </w:p>
        </w:tc>
        <w:tc>
          <w:tcPr/>
          <w:p>
            <w:pPr>
              <w:pStyle w:val="Compact"/>
            </w:pPr>
            <w:r>
              <w:t xml:space="preserve">p₀ → p₁</w:t>
            </w:r>
          </w:p>
        </w:tc>
        <w:tc>
          <w:tcPr/>
          <w:p>
            <w:pPr>
              <w:pStyle w:val="Compact"/>
            </w:pPr>
            <w:r>
              <w:t xml:space="preserve">n por brazo</w:t>
            </w:r>
          </w:p>
        </w:tc>
        <w:tc>
          <w:tcPr/>
          <w:p>
            <w:pPr>
              <w:pStyle w:val="Compact"/>
            </w:pPr>
            <w:r>
              <w:t xml:space="preserve">n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+1.0 pp (absoluto)</w:t>
            </w:r>
          </w:p>
        </w:tc>
        <w:tc>
          <w:tcPr/>
          <w:p>
            <w:pPr>
              <w:pStyle w:val="Compact"/>
            </w:pPr>
            <w:r>
              <w:t xml:space="preserve">8.4 % → 9.4 %</w:t>
            </w:r>
          </w:p>
        </w:tc>
        <w:tc>
          <w:tcPr/>
          <w:p>
            <w:pPr>
              <w:pStyle w:val="Compact"/>
            </w:pPr>
            <w:r>
              <w:t xml:space="preserve">~12,700</w:t>
            </w:r>
          </w:p>
        </w:tc>
        <w:tc>
          <w:tcPr/>
          <w:p>
            <w:pPr>
              <w:pStyle w:val="Compact"/>
            </w:pPr>
            <w:r>
              <w:t xml:space="preserve">~25,400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+10 % (relativo)</w:t>
            </w:r>
          </w:p>
        </w:tc>
        <w:tc>
          <w:tcPr/>
          <w:p>
            <w:pPr>
              <w:pStyle w:val="Compact"/>
            </w:pPr>
            <w:r>
              <w:t xml:space="preserve">8.4 % → 9.24 %</w:t>
            </w:r>
          </w:p>
        </w:tc>
        <w:tc>
          <w:tcPr/>
          <w:p>
            <w:pPr>
              <w:pStyle w:val="Compact"/>
            </w:pPr>
            <w:r>
              <w:t xml:space="preserve">~17,900</w:t>
            </w:r>
          </w:p>
        </w:tc>
        <w:tc>
          <w:tcPr/>
          <w:p>
            <w:pPr>
              <w:pStyle w:val="Compact"/>
            </w:pPr>
            <w:r>
              <w:t xml:space="preserve">~35,800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+0.5 pp (absoluto)</w:t>
            </w:r>
          </w:p>
        </w:tc>
        <w:tc>
          <w:tcPr/>
          <w:p>
            <w:pPr>
              <w:pStyle w:val="Compact"/>
            </w:pPr>
            <w:r>
              <w:t xml:space="preserve">8.4 % → 8.9 %</w:t>
            </w:r>
          </w:p>
        </w:tc>
        <w:tc>
          <w:tcPr/>
          <w:p>
            <w:pPr>
              <w:pStyle w:val="Compact"/>
            </w:pPr>
            <w:r>
              <w:t xml:space="preserve">~49,600</w:t>
            </w:r>
          </w:p>
        </w:tc>
        <w:tc>
          <w:tcPr/>
          <w:p>
            <w:pPr>
              <w:pStyle w:val="Compact"/>
            </w:pPr>
            <w:r>
              <w:t xml:space="preserve">~99,200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(Fórmula de dos proporciones: n ≈ (z_{α/2}+z_β)²·[p₀(1−p₀)+p₁(1−p₁)] / (p₁−p₀)².)</w:t>
      </w:r>
    </w:p>
    <w:p>
      <w:pPr>
        <w:pStyle w:val="BodyText"/>
      </w:pPr>
      <w:r>
        <w:rPr>
          <w:b/>
          <w:bCs/>
        </w:rPr>
        <w:t xml:space="preserve">Duración.</w:t>
      </w:r>
      <w:r>
        <w:t xml:space="preserve"> </w:t>
      </w:r>
      <w:r>
        <w:t xml:space="preserve">C3 ≈ 29.3 % de ~346 k sesiones/día → del orden de</w:t>
      </w:r>
      <w:r>
        <w:t xml:space="preserve"> </w:t>
      </w:r>
      <w:r>
        <w:rPr>
          <w:b/>
          <w:bCs/>
        </w:rPr>
        <w:t xml:space="preserve">10⁵ visitantes-C3 elegibles por día</w:t>
      </w:r>
      <w:r>
        <w:t xml:space="preserve">, así que el tamaño de muestra se alcanza en</w:t>
      </w:r>
      <w:r>
        <w:t xml:space="preserve"> </w:t>
      </w:r>
      <w:r>
        <w:rPr>
          <w:b/>
          <w:bCs/>
        </w:rPr>
        <w:t xml:space="preserve">pocos días</w:t>
      </w:r>
      <w:r>
        <w:t xml:space="preserve"> </w:t>
      </w:r>
      <w:r>
        <w:t xml:space="preserve">incluso para el MDE exigente de +0.5 pp. El cuello de botella no es el volumen sino la</w:t>
      </w:r>
      <w:r>
        <w:t xml:space="preserve"> </w:t>
      </w:r>
      <w:r>
        <w:rPr>
          <w:b/>
          <w:bCs/>
        </w:rPr>
        <w:t xml:space="preserve">validez temporal</w:t>
      </w:r>
      <w:r>
        <w:t xml:space="preserve">: se corre un mínimo de</w:t>
      </w:r>
      <w:r>
        <w:t xml:space="preserve"> </w:t>
      </w:r>
      <w:r>
        <w:rPr>
          <w:b/>
          <w:bCs/>
        </w:rPr>
        <w:t xml:space="preserve">2 semanas</w:t>
      </w:r>
      <w:r>
        <w:t xml:space="preserve"> </w:t>
      </w:r>
      <w:r>
        <w:t xml:space="preserve">para cubrir ≥2 ciclos semanales completos y se</w:t>
      </w:r>
      <w:r>
        <w:t xml:space="preserve"> </w:t>
      </w:r>
      <w:r>
        <w:rPr>
          <w:b/>
          <w:bCs/>
        </w:rPr>
        <w:t xml:space="preserve">excluyen periodos anómalos</w:t>
      </w:r>
      <w:r>
        <w:t xml:space="preserve"> </w:t>
      </w:r>
      <w:r>
        <w:t xml:space="preserve">(Black Friday y la ventana 14–17 nov) para no confundir el efecto del incentivo con estacionalidad.</w:t>
      </w:r>
    </w:p>
    <w:bookmarkEnd w:id="37"/>
    <w:bookmarkStart w:id="38" w:name="regla-de-decisión-y-análisis"/>
    <w:p>
      <w:pPr>
        <w:pStyle w:val="Heading4"/>
      </w:pPr>
      <w:r>
        <w:t xml:space="preserve">3.5.7 Regla de decisión y análisis</w:t>
      </w:r>
    </w:p>
    <w:p>
      <w:pPr>
        <w:pStyle w:val="FirstParagraph"/>
      </w:pPr>
      <w:r>
        <w:t xml:space="preserve">Análisis por</w:t>
      </w:r>
      <w:r>
        <w:t xml:space="preserve"> </w:t>
      </w:r>
      <w:r>
        <w:rPr>
          <w:b/>
          <w:bCs/>
        </w:rPr>
        <w:t xml:space="preserve">intención de tratar</w:t>
      </w:r>
      <w:r>
        <w:t xml:space="preserve">. Se declara ganador el Tratamiento si el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de conversión es</w:t>
      </w:r>
      <w:r>
        <w:t xml:space="preserve"> </w:t>
      </w:r>
      <w:r>
        <w:rPr>
          <w:b/>
          <w:bCs/>
        </w:rPr>
        <w:t xml:space="preserve">estadísticamente significativo</w:t>
      </w:r>
      <w:r>
        <w:t xml:space="preserve"> </w:t>
      </w:r>
      <w:r>
        <w:t xml:space="preserve">(IC al 95 % que excluye 0)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el guardarraíl de margen no se deteriora; en ese caso se despliega al segmento. Como extensiones: reducción de varianza (CUPED) y análisis de heterogeneidad del efecto dentro de C0 (primer paso hacia el uplift de segunda fase).</w:t>
      </w:r>
    </w:p>
    <w:bookmarkEnd w:id="38"/>
    <w:bookmarkEnd w:id="39"/>
    <w:bookmarkEnd w:id="40"/>
    <w:bookmarkStart w:id="43" w:name="X2fd050c4c77a0eefc1680c434f96021814db505"/>
    <w:p>
      <w:pPr>
        <w:pStyle w:val="Heading2"/>
      </w:pPr>
      <w:r>
        <w:t xml:space="preserve">4. Tecnología: Ingeniería de Datos y uso de tecnología</w:t>
      </w:r>
    </w:p>
    <w:p>
      <w:pPr>
        <w:pStyle w:val="FirstParagraph"/>
      </w:pPr>
      <w:r>
        <w:t xml:space="preserve">El proyecto distingue dos arquitecturas: la</w:t>
      </w:r>
      <w:r>
        <w:t xml:space="preserve"> </w:t>
      </w:r>
      <w:r>
        <w:rPr>
          <w:b/>
          <w:bCs/>
        </w:rPr>
        <w:t xml:space="preserve">implementada</w:t>
      </w:r>
      <w:r>
        <w:t xml:space="preserve"> </w:t>
      </w:r>
      <w:r>
        <w:t xml:space="preserve">(lo que de verdad corrimos en Databricks Free Edition) y la</w:t>
      </w:r>
      <w:r>
        <w:t xml:space="preserve"> </w:t>
      </w:r>
      <w:r>
        <w:rPr>
          <w:b/>
          <w:bCs/>
        </w:rPr>
        <w:t xml:space="preserve">de referencia</w:t>
      </w:r>
      <w:r>
        <w:t xml:space="preserve"> </w:t>
      </w:r>
      <w:r>
        <w:t xml:space="preserve">(cómo se vería en producción real), tal como se detalla en</w:t>
      </w:r>
      <w:r>
        <w:t xml:space="preserve"> </w:t>
      </w:r>
      <w:r>
        <w:rPr>
          <w:rStyle w:val="VerbatimChar"/>
        </w:rPr>
        <w:t xml:space="preserve">docs/02_arquitectura_bigdata_y_databricks.md</w:t>
      </w:r>
      <w:r>
        <w:t xml:space="preserve">.</w:t>
      </w:r>
    </w:p>
    <w:bookmarkStart w:id="41" w:name="X993a75c6a8e46a055a9b3187aaefcae5081e245"/>
    <w:p>
      <w:pPr>
        <w:pStyle w:val="Heading3"/>
      </w:pPr>
      <w:r>
        <w:t xml:space="preserve">4.1 Desarrollo del proyecto (arquitectura implementada)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Fuentes de datos y naturaleza.</w:t>
      </w:r>
      <w:r>
        <w:t xml:space="preserve"> </w:t>
      </w:r>
      <w:r>
        <w:t xml:space="preserve">REES46: datos de</w:t>
      </w:r>
      <w:r>
        <w:t xml:space="preserve"> </w:t>
      </w:r>
      <w:r>
        <w:rPr>
          <w:i/>
          <w:iCs/>
        </w:rPr>
        <w:t xml:space="preserve">clickstream</w:t>
      </w:r>
      <w:r>
        <w:t xml:space="preserve"> </w:t>
      </w:r>
      <w:r>
        <w:t xml:space="preserve">estructurados, entregados como archivos</w:t>
      </w:r>
      <w:r>
        <w:t xml:space="preserve"> </w:t>
      </w:r>
      <w:r>
        <w:rPr>
          <w:i/>
          <w:iCs/>
        </w:rPr>
        <w:t xml:space="preserve">batch</w:t>
      </w:r>
      <w:r>
        <w:t xml:space="preserve">. El crudo se aloja en un</w:t>
      </w:r>
      <w:r>
        <w:t xml:space="preserve"> </w:t>
      </w:r>
      <w:r>
        <w:rPr>
          <w:b/>
          <w:bCs/>
        </w:rPr>
        <w:t xml:space="preserve">Volume de Databricks</w:t>
      </w:r>
      <w:r>
        <w:t xml:space="preserve"> </w:t>
      </w:r>
      <w:r>
        <w:t xml:space="preserve">(</w:t>
      </w:r>
      <w:r>
        <w:rPr>
          <w:rStyle w:val="VerbatimChar"/>
        </w:rPr>
        <w:t xml:space="preserve">ecommerce_raw</w:t>
      </w:r>
      <w:r>
        <w:t xml:space="preserve">), que ya está respaldado por almacenamiento de objetos.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Ingesta (modo).</w:t>
      </w:r>
      <w:r>
        <w:t xml:space="preserve"> </w:t>
      </w:r>
      <w:r>
        <w:t xml:space="preserve">Pese a que la fuente es batch, la ingesta se implementa como</w:t>
      </w:r>
      <w:r>
        <w:t xml:space="preserve"> </w:t>
      </w:r>
      <w:r>
        <w:rPr>
          <w:b/>
          <w:bCs/>
        </w:rPr>
        <w:t xml:space="preserve">replay de streaming estilo Kappa</w:t>
      </w:r>
      <w:r>
        <w:t xml:space="preserve">:</w:t>
      </w:r>
      <w:r>
        <w:t xml:space="preserve"> </w:t>
      </w:r>
      <w:r>
        <w:rPr>
          <w:b/>
          <w:bCs/>
        </w:rPr>
        <w:t xml:space="preserve">Auto Loader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cloudFiles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Trigger.AvailableNow</w:t>
      </w:r>
      <w:r>
        <w:t xml:space="preserve"> </w:t>
      </w:r>
      <w:r>
        <w:t xml:space="preserve">+ checkpoint. Esto demuestra un pipeline de streaming reproducible (no en bucle) sin necesidad de un broker (Kafka) ni de AWS. Verificado:</w:t>
      </w:r>
      <w:r>
        <w:t xml:space="preserve"> </w:t>
      </w:r>
      <w:r>
        <w:rPr>
          <w:b/>
          <w:bCs/>
        </w:rPr>
        <w:t xml:space="preserve">109.95 M filas ingeridas sin duplicar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Almacenamiento — lago de datos en Delta.</w:t>
      </w:r>
      <w:r>
        <w:t xml:space="preserve"> </w:t>
      </w:r>
      <w:r>
        <w:t xml:space="preserve">Arquitectura</w:t>
      </w:r>
      <w:r>
        <w:t xml:space="preserve"> </w:t>
      </w:r>
      <w:r>
        <w:rPr>
          <w:b/>
          <w:bCs/>
        </w:rPr>
        <w:t xml:space="preserve">Medallion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Delta Lake</w:t>
      </w:r>
      <w:r>
        <w:t xml:space="preserve">: Bronze (crudo tipado) → Silver (limpio, deduplicado,</w:t>
      </w:r>
      <w:r>
        <w:t xml:space="preserve"> </w:t>
      </w:r>
      <w:r>
        <w:rPr>
          <w:rStyle w:val="VerbatimChar"/>
        </w:rPr>
        <w:t xml:space="preserve">price&gt;0</w:t>
      </w:r>
      <w:r>
        <w:t xml:space="preserve">) → Gold (features por sesión, contrato congelado de 22 columnas, §3.3.1). El lago de datos es el Volume + las tablas Delta.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Particionamiento por capa (decisión por tamaño).</w:t>
      </w:r>
      <w:r>
        <w:t xml:space="preserve"> </w:t>
      </w:r>
      <w:r>
        <w:t xml:space="preserve">Bronze/Silver se particionan por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(capas grandes → particiones de ~128 MB+; Silver además</w:t>
      </w:r>
      <w:r>
        <w:t xml:space="preserve"> </w:t>
      </w:r>
      <w:r>
        <w:rPr>
          <w:rStyle w:val="VerbatimChar"/>
        </w:rPr>
        <w:t xml:space="preserve">ZORDER (category_id)</w:t>
      </w:r>
      <w:r>
        <w:t xml:space="preserve">). La</w:t>
      </w:r>
      <w:r>
        <w:t xml:space="preserve"> </w:t>
      </w:r>
      <w:r>
        <w:rPr>
          <w:b/>
          <w:bCs/>
        </w:rPr>
        <w:t xml:space="preserve">Gold de sesión NO se particiona</w:t>
      </w:r>
      <w:r>
        <w:t xml:space="preserve"> </w:t>
      </w:r>
      <w:r>
        <w:t xml:space="preserve">(~1.33 GB ≪ 1 TB →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ZORDER (session_date, user_id)</w:t>
      </w:r>
      <w:r>
        <w:t xml:space="preserve">; particionarla por fecha generaría micro-archivos de ~22 MB, el anti-patrón). La frontera train/test es un filtro sobre</w:t>
      </w:r>
      <w:r>
        <w:t xml:space="preserve"> </w:t>
      </w:r>
      <w:r>
        <w:rPr>
          <w:rStyle w:val="VerbatimChar"/>
        </w:rPr>
        <w:t xml:space="preserve">session_date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data-skipping</w:t>
      </w:r>
      <w:r>
        <w:t xml:space="preserve">. Evidencia medida con</w:t>
      </w:r>
      <w:r>
        <w:t xml:space="preserve"> </w:t>
      </w:r>
      <w:r>
        <w:rPr>
          <w:rStyle w:val="VerbatimChar"/>
        </w:rPr>
        <w:t xml:space="preserve">DESCRIBE DETAIL</w:t>
      </w:r>
      <w:r>
        <w:t xml:space="preserve"> </w:t>
      </w:r>
      <w:r>
        <w:t xml:space="preserve">(doc 02 §3).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 de procesamiento.</w:t>
      </w:r>
      <w:r>
        <w:t xml:space="preserve"> </w:t>
      </w:r>
      <w:r>
        <w:rPr>
          <w:b/>
          <w:bCs/>
        </w:rPr>
        <w:t xml:space="preserve">Apache Spark</w:t>
      </w:r>
      <w:r>
        <w:t xml:space="preserve"> </w:t>
      </w:r>
      <w:r>
        <w:t xml:space="preserve">(PySpark + Spark SQL) para todo el pipeline y la capa de agregados del EDA/BI.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Persistencia de modelos.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tracking</w:t>
      </w:r>
      <w:r>
        <w:t xml:space="preserve"> </w:t>
      </w:r>
      <w:r>
        <w:t xml:space="preserve">(params, PR-AUC/Brier), el modelo calibrado y su</w:t>
      </w:r>
      <w:r>
        <w:t xml:space="preserve"> </w:t>
      </w:r>
      <w:r>
        <w:rPr>
          <w:i/>
          <w:iCs/>
        </w:rPr>
        <w:t xml:space="preserve">signature</w:t>
      </w:r>
      <w:r>
        <w:t xml:space="preserve">; el</w:t>
      </w:r>
      <w:r>
        <w:t xml:space="preserve"> </w:t>
      </w:r>
      <w:r>
        <w:rPr>
          <w:i/>
          <w:iCs/>
        </w:rPr>
        <w:t xml:space="preserve">scoring batch</w:t>
      </w:r>
      <w:r>
        <w:t xml:space="preserve"> </w:t>
      </w:r>
      <w:r>
        <w:t xml:space="preserve">materializa el</w:t>
      </w:r>
      <w:r>
        <w:t xml:space="preserve"> </w:t>
      </w:r>
      <w:r>
        <w:rPr>
          <w:b/>
          <w:bCs/>
        </w:rPr>
        <w:t xml:space="preserve">Contrato 2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user_session</w:t>
      </w:r>
      <w:r>
        <w:t xml:space="preserve">, probabilidad calibrada, segmento) en Delta.</w:t>
      </w:r>
      <w:r>
        <w:t xml:space="preserve"> </w:t>
      </w:r>
      <w:r>
        <w:rPr>
          <w:i/>
          <w:iCs/>
        </w:rPr>
        <w:t xml:space="preserve">(Nota Free Edition: hay que llamar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set_registry_uri("databricks-uc")</w:t>
      </w:r>
      <w:r>
        <w:rPr>
          <w:i/>
          <w:iCs/>
        </w:rPr>
        <w:t xml:space="preserve"> </w:t>
      </w:r>
      <w:r>
        <w:rPr>
          <w:i/>
          <w:iCs/>
        </w:rPr>
        <w:t xml:space="preserve">antes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set_experiment</w:t>
      </w:r>
      <w:r>
        <w:rPr>
          <w:i/>
          <w:iCs/>
        </w:rPr>
        <w:t xml:space="preserve">.)</w:t>
      </w:r>
    </w:p>
    <w:bookmarkEnd w:id="41"/>
    <w:bookmarkStart w:id="42" w:name="X78f0661f60f028ce4a3938420a8f1444d0413a1"/>
    <w:p>
      <w:pPr>
        <w:pStyle w:val="Heading3"/>
      </w:pPr>
      <w:r>
        <w:t xml:space="preserve">4.2 Despliegue (escenario hipotético de implementación real)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Arquitectura de referencia productiva.</w:t>
      </w:r>
      <w:r>
        <w:t xml:space="preserve"> </w:t>
      </w:r>
      <w:r>
        <w:t xml:space="preserve">Kafka/Kinesis → Structured Streaming/Flink → Delta sobre S3/GCS → warehouse/Athena →</w:t>
      </w:r>
      <w:r>
        <w:t xml:space="preserve"> </w:t>
      </w:r>
      <w:r>
        <w:rPr>
          <w:i/>
          <w:iCs/>
        </w:rPr>
        <w:t xml:space="preserve">serving</w:t>
      </w:r>
      <w:r>
        <w:t xml:space="preserve"> </w:t>
      </w:r>
      <w:r>
        <w:t xml:space="preserve">en tiempo real. La implementada es la traducción de esta referencia a los límites de la plataforma del curso.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Aplicaciones (consumo).</w:t>
      </w:r>
      <w:r>
        <w:t xml:space="preserve"> </w:t>
      </w:r>
      <w:r>
        <w:t xml:space="preserve">La Gold</w:t>
      </w:r>
      <w:r>
        <w:t xml:space="preserve"> </w:t>
      </w:r>
      <w:r>
        <w:rPr>
          <w:b/>
          <w:bCs/>
        </w:rPr>
        <w:t xml:space="preserve">agregada</w:t>
      </w:r>
      <w:r>
        <w:t xml:space="preserve"> </w:t>
      </w:r>
      <w:r>
        <w:t xml:space="preserve">(12 CSV pequeños) alimenta el</w:t>
      </w:r>
      <w:r>
        <w:t xml:space="preserve"> </w:t>
      </w:r>
      <w:r>
        <w:rPr>
          <w:b/>
          <w:bCs/>
        </w:rPr>
        <w:t xml:space="preserve">tablero Power BI</w:t>
      </w:r>
      <w:r>
        <w:t xml:space="preserve"> </w:t>
      </w:r>
      <w:r>
        <w:t xml:space="preserve">publicado en Power BI Service; el scoring batch enriquece el tablero y define el segmento del A/B.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Decisión de diseño — Volume vs S3 (Q&amp;A de defensa).</w:t>
      </w:r>
      <w:r>
        <w:t xml:space="preserve"> </w:t>
      </w:r>
      <w:r>
        <w:t xml:space="preserve">Se usa el Volume y no un bucket S3 externo porque (1) el Volume ya está respaldado por object storage y Auto Loader puede apuntar a su path, así que el replay Kappa se demuestra sin bucket externo; (2) S3 agregaría una cuenta AWS y credenciales que gestionar (choca con</w:t>
      </w:r>
      <w:r>
        <w:t xml:space="preserve"> </w:t>
      </w:r>
      <w:r>
        <w:t xml:space="preserve">“no exponer secretos”</w:t>
      </w:r>
      <w:r>
        <w:t xml:space="preserve">) y las</w:t>
      </w:r>
      <w:r>
        <w:t xml:space="preserve"> </w:t>
      </w:r>
      <w:r>
        <w:rPr>
          <w:i/>
          <w:iCs/>
        </w:rPr>
        <w:t xml:space="preserve">external locations</w:t>
      </w:r>
      <w:r>
        <w:t xml:space="preserve"> </w:t>
      </w:r>
      <w:r>
        <w:t xml:space="preserve">son limitadas en Free Edition; (3) re-ingestar 14 GB quemaría tiempo y cuota sin resolver ningún problema actual. En la arquitectura de referencia, S3 + Auto Loader sí aparecen como la capa productiva.</w:t>
      </w:r>
    </w:p>
    <w:bookmarkEnd w:id="42"/>
    <w:bookmarkEnd w:id="43"/>
    <w:bookmarkStart w:id="49" w:name="visualización-y-comunicación-de-datos"/>
    <w:p>
      <w:pPr>
        <w:pStyle w:val="Heading2"/>
      </w:pPr>
      <w:r>
        <w:t xml:space="preserve">5. Visualización y comunicación de datos</w:t>
      </w:r>
    </w:p>
    <w:bookmarkStart w:id="44" w:name="requerimientos-de-comunicación"/>
    <w:p>
      <w:pPr>
        <w:pStyle w:val="Heading3"/>
      </w:pPr>
      <w:r>
        <w:t xml:space="preserve">5.1 Requerimientos de comunicación</w:t>
      </w:r>
    </w:p>
    <w:p>
      <w:pPr>
        <w:pStyle w:val="FirstParagraph"/>
      </w:pPr>
      <w:r>
        <w:t xml:space="preserve">El tablero responde la</w:t>
      </w:r>
      <w:r>
        <w:t xml:space="preserve"> </w:t>
      </w:r>
      <w:r>
        <w:rPr>
          <w:b/>
          <w:bCs/>
        </w:rPr>
        <w:t xml:space="preserve">Pregunta de Oro</w:t>
      </w:r>
      <w:r>
        <w:t xml:space="preserve"> </w:t>
      </w:r>
      <w:r>
        <w:t xml:space="preserve">(</w:t>
      </w:r>
      <w:r>
        <w:rPr>
          <w:i/>
          <w:iCs/>
        </w:rPr>
        <w:t xml:space="preserve">¿dónde se concentra la fuga y qué segmento es la mayor oportunidad?</w:t>
      </w:r>
      <w:r>
        <w:t xml:space="preserve">) para una audiencia</w:t>
      </w:r>
      <w:r>
        <w:t xml:space="preserve"> </w:t>
      </w:r>
      <w:r>
        <w:rPr>
          <w:b/>
          <w:bCs/>
        </w:rPr>
        <w:t xml:space="preserve">ejecutiva y de jurado</w:t>
      </w:r>
      <w:r>
        <w:t xml:space="preserve"> </w:t>
      </w:r>
      <w:r>
        <w:t xml:space="preserve">que pesa</w:t>
      </w:r>
      <w:r>
        <w:t xml:space="preserve"> </w:t>
      </w:r>
      <w:r>
        <w:rPr>
          <w:b/>
          <w:bCs/>
        </w:rPr>
        <w:t xml:space="preserve">narrativa, diseño e interactividad</w:t>
      </w:r>
      <w:r>
        <w:t xml:space="preserve"> </w:t>
      </w:r>
      <w:r>
        <w:t xml:space="preserve">por encima del detalle técnico. El requisito de la rúbrica (SI7007) es un tablero</w:t>
      </w:r>
      <w:r>
        <w:t xml:space="preserve"> </w:t>
      </w:r>
      <w:r>
        <w:rPr>
          <w:b/>
          <w:bCs/>
        </w:rPr>
        <w:t xml:space="preserve">desplegado y accesible</w:t>
      </w:r>
      <w:r>
        <w:t xml:space="preserve">,</w:t>
      </w:r>
      <w:r>
        <w:t xml:space="preserve"> </w:t>
      </w:r>
      <w:r>
        <w:rPr>
          <w:b/>
          <w:bCs/>
        </w:rPr>
        <w:t xml:space="preserve">fluido</w:t>
      </w:r>
      <w:r>
        <w:t xml:space="preserve">, con un</w:t>
      </w:r>
      <w:r>
        <w:t xml:space="preserve"> </w:t>
      </w:r>
      <w:r>
        <w:rPr>
          <w:b/>
          <w:bCs/>
        </w:rPr>
        <w:t xml:space="preserve">pitch de negocio</w:t>
      </w:r>
      <w:r>
        <w:t xml:space="preserve"> </w:t>
      </w:r>
      <w:r>
        <w:t xml:space="preserve">que termine en recomendaciones accionables y una</w:t>
      </w:r>
      <w:r>
        <w:t xml:space="preserve"> </w:t>
      </w:r>
      <w:r>
        <w:rPr>
          <w:b/>
          <w:bCs/>
        </w:rPr>
        <w:t xml:space="preserve">defensa</w:t>
      </w:r>
      <w:r>
        <w:t xml:space="preserve"> </w:t>
      </w:r>
      <w:r>
        <w:t xml:space="preserve">filtrando en vivo.</w:t>
      </w:r>
    </w:p>
    <w:bookmarkEnd w:id="44"/>
    <w:bookmarkStart w:id="45" w:name="análisis-mapa-pregunta-gráfico"/>
    <w:p>
      <w:pPr>
        <w:pStyle w:val="Heading3"/>
      </w:pPr>
      <w:r>
        <w:t xml:space="preserve">5.2 Análisis (mapa pregunta → gráfico)</w:t>
      </w:r>
    </w:p>
    <w:p>
      <w:pPr>
        <w:pStyle w:val="FirstParagraph"/>
      </w:pPr>
      <w:r>
        <w:t xml:space="preserve">Cada visual responde una pregunta de negocio, organizada alrededor de las</w:t>
      </w:r>
      <w:r>
        <w:t xml:space="preserve"> </w:t>
      </w:r>
      <w:r>
        <w:rPr>
          <w:b/>
          <w:bCs/>
        </w:rPr>
        <w:t xml:space="preserve">dos palancas</w:t>
      </w:r>
      <w:r>
        <w:t xml:space="preserve"> </w:t>
      </w:r>
      <w:r>
        <w:t xml:space="preserve">del EDA (§3.2.3):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Palanca A — dónde está la fuga:</w:t>
      </w:r>
      <w:r>
        <w:t xml:space="preserve"> </w:t>
      </w:r>
      <w:r>
        <w:t xml:space="preserve">funnel por categoría (</w:t>
      </w:r>
      <w:r>
        <w:rPr>
          <w:rStyle w:val="VerbatimChar"/>
        </w:rPr>
        <w:t xml:space="preserve">agg_funnel_categoria</w:t>
      </w:r>
      <w:r>
        <w:t xml:space="preserve"> </w:t>
      </w:r>
      <w:r>
        <w:t xml:space="preserve">→ treemap/barras), dinero en carritos abandonados (</w:t>
      </w:r>
      <w:r>
        <w:rPr>
          <w:rStyle w:val="VerbatimChar"/>
        </w:rPr>
        <w:t xml:space="preserve">agg_revenue_en_juego</w:t>
      </w:r>
      <w:r>
        <w:t xml:space="preserve"> </w:t>
      </w:r>
      <w:r>
        <w:t xml:space="preserve">→ treemap por área), y drill de marcas del premio (</w:t>
      </w:r>
      <w:r>
        <w:rPr>
          <w:rStyle w:val="VerbatimChar"/>
        </w:rPr>
        <w:t xml:space="preserve">agg_marca_electronics</w:t>
      </w:r>
      <w:r>
        <w:t xml:space="preserve"> </w:t>
      </w:r>
      <w:r>
        <w:t xml:space="preserve">→ barras).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Palanca B — a quién retener:</w:t>
      </w:r>
      <w:r>
        <w:t xml:space="preserve"> </w:t>
      </w:r>
      <w:r>
        <w:t xml:space="preserve">segmentos de comprador (</w:t>
      </w:r>
      <w:r>
        <w:rPr>
          <w:rStyle w:val="VerbatimChar"/>
        </w:rPr>
        <w:t xml:space="preserve">agg_segmentos_comprador</w:t>
      </w:r>
      <w:r>
        <w:t xml:space="preserve"> </w:t>
      </w:r>
      <w:r>
        <w:t xml:space="preserve">→ combo de doble eje, %compradores vs %revenue).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Contexto/diagnóstico:</w:t>
      </w:r>
      <w:r>
        <w:t xml:space="preserve"> </w:t>
      </w:r>
      <w:r>
        <w:t xml:space="preserve">embudo global (</w:t>
      </w:r>
      <w:r>
        <w:rPr>
          <w:rStyle w:val="VerbatimChar"/>
        </w:rPr>
        <w:t xml:space="preserve">agg_funnel_embudo</w:t>
      </w:r>
      <w:r>
        <w:t xml:space="preserve">), tipología de visitante (</w:t>
      </w:r>
      <w:r>
        <w:rPr>
          <w:rStyle w:val="VerbatimChar"/>
        </w:rPr>
        <w:t xml:space="preserve">agg_tipologia_visitante</w:t>
      </w:r>
      <w:r>
        <w:t xml:space="preserve">), cuándo intervenir (</w:t>
      </w:r>
      <w:r>
        <w:rPr>
          <w:rStyle w:val="VerbatimChar"/>
        </w:rPr>
        <w:t xml:space="preserve">agg_hora_dow</w:t>
      </w:r>
      <w:r>
        <w:t xml:space="preserve"> </w:t>
      </w:r>
      <w:r>
        <w:t xml:space="preserve">→ heatmap hora×día), y evolución temporal con</w:t>
      </w:r>
      <w:r>
        <w:t xml:space="preserve"> </w:t>
      </w:r>
      <w:r>
        <w:rPr>
          <w:i/>
          <w:iCs/>
        </w:rPr>
        <w:t xml:space="preserve">toggle</w:t>
      </w:r>
      <w:r>
        <w:t xml:space="preserve"> </w:t>
      </w:r>
      <w:r>
        <w:t xml:space="preserve">día↔hora y slicers de categoría/marca (</w:t>
      </w:r>
      <w:r>
        <w:rPr>
          <w:rStyle w:val="VerbatimChar"/>
        </w:rPr>
        <w:t xml:space="preserve">agg_metricas_dia_hora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agg_metricas_diarias_categoria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agg_electronics_marca_diaria</w:t>
      </w:r>
      <w:r>
        <w:t xml:space="preserve">).</w:t>
      </w:r>
    </w:p>
    <w:bookmarkEnd w:id="45"/>
    <w:bookmarkStart w:id="46" w:name="diseño"/>
    <w:p>
      <w:pPr>
        <w:pStyle w:val="Heading3"/>
      </w:pPr>
      <w:r>
        <w:t xml:space="preserve">5.3 Diseño</w:t>
      </w:r>
    </w:p>
    <w:p>
      <w:pPr>
        <w:pStyle w:val="FirstParagraph"/>
      </w:pPr>
      <w:r>
        <w:t xml:space="preserve">Cuatro páginas con</w:t>
      </w:r>
      <w:r>
        <w:t xml:space="preserve"> </w:t>
      </w:r>
      <w:r>
        <w:rPr>
          <w:b/>
          <w:bCs/>
        </w:rPr>
        <w:t xml:space="preserve">portada y navegación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reports/powerbi/</w:t>
      </w:r>
      <w:r>
        <w:t xml:space="preserve">): (1)</w:t>
      </w:r>
      <w:r>
        <w:t xml:space="preserve"> </w:t>
      </w:r>
      <w:r>
        <w:rPr>
          <w:b/>
          <w:bCs/>
        </w:rPr>
        <w:t xml:space="preserve">Análisis global</w:t>
      </w:r>
      <w:r>
        <w:t xml:space="preserve"> </w:t>
      </w:r>
      <w:r>
        <w:t xml:space="preserve">(KPIs + funnel + tipología + segmentos con Top-N dinámico), (2)</w:t>
      </w:r>
      <w:r>
        <w:t xml:space="preserve"> </w:t>
      </w:r>
      <w:r>
        <w:rPr>
          <w:b/>
          <w:bCs/>
        </w:rPr>
        <w:t xml:space="preserve">Detalle Electronics</w:t>
      </w:r>
      <w:r>
        <w:t xml:space="preserve"> </w:t>
      </w:r>
      <w:r>
        <w:t xml:space="preserve">(el negocio: ticket, abandono, marcas, scatter ticket×abandono), (3)</w:t>
      </w:r>
      <w:r>
        <w:t xml:space="preserve"> </w:t>
      </w:r>
      <w:r>
        <w:rPr>
          <w:b/>
          <w:bCs/>
        </w:rPr>
        <w:t xml:space="preserve">Contexto temporal</w:t>
      </w:r>
      <w:r>
        <w:t xml:space="preserve"> </w:t>
      </w:r>
      <w:r>
        <w:t xml:space="preserve">(tráfico vs conversión diaria, con</w:t>
      </w:r>
      <w:r>
        <w:t xml:space="preserve"> </w:t>
      </w:r>
      <w:r>
        <w:rPr>
          <w:b/>
          <w:bCs/>
        </w:rPr>
        <w:t xml:space="preserve">anotaciones de calidad de datos</w:t>
      </w:r>
      <w:r>
        <w:t xml:space="preserve">: ventana 14–17 nov y Black Friday). Paleta púrpura coherente. Principio: cada página sostiene un paso de la narrativa, no una pila de gráficos.</w:t>
      </w:r>
    </w:p>
    <w:bookmarkEnd w:id="46"/>
    <w:bookmarkStart w:id="47" w:name="implementación"/>
    <w:p>
      <w:pPr>
        <w:pStyle w:val="Heading3"/>
      </w:pPr>
      <w:r>
        <w:t xml:space="preserve">5.4 Implementación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Power BI</w:t>
      </w:r>
      <w:r>
        <w:t xml:space="preserve"> </w:t>
      </w:r>
      <w:r>
        <w:t xml:space="preserve">conectado a la</w:t>
      </w:r>
      <w:r>
        <w:t xml:space="preserve"> </w:t>
      </w:r>
      <w:r>
        <w:rPr>
          <w:b/>
          <w:bCs/>
        </w:rPr>
        <w:t xml:space="preserve">Gold agregada</w:t>
      </w:r>
      <w:r>
        <w:t xml:space="preserve"> </w:t>
      </w:r>
      <w:r>
        <w:t xml:space="preserve">(12 CSV en</w:t>
      </w:r>
      <w:r>
        <w:t xml:space="preserve"> </w:t>
      </w:r>
      <w:r>
        <w:rPr>
          <w:rStyle w:val="VerbatimChar"/>
        </w:rPr>
        <w:t xml:space="preserve">reports/data/</w:t>
      </w:r>
      <w:r>
        <w:t xml:space="preserve">), no a las 23 M filas crudas — la estrategia de cuota del proyecto (doc 02). El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reports/powerbi/Tablero_PI.pbix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Buenas prácticas de BI aplicadas: la</w:t>
      </w:r>
      <w:r>
        <w:t xml:space="preserve"> </w:t>
      </w:r>
      <w:r>
        <w:rPr>
          <w:b/>
          <w:bCs/>
        </w:rPr>
        <w:t xml:space="preserve">conversión se crea como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medida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SUM(purchases)/SUM(views)</w:t>
      </w:r>
      <w:r>
        <w:t xml:space="preserve">) para que respete el filtro activo, no como porcentaje pre-agregado;</w:t>
      </w:r>
      <w:r>
        <w:t xml:space="preserve"> </w:t>
      </w:r>
      <w:r>
        <w:rPr>
          <w:i/>
          <w:iCs/>
        </w:rPr>
        <w:t xml:space="preserve">field parameters</w:t>
      </w:r>
      <w:r>
        <w:t xml:space="preserve"> </w:t>
      </w:r>
      <w:r>
        <w:t xml:space="preserve">para el</w:t>
      </w:r>
      <w:r>
        <w:t xml:space="preserve"> </w:t>
      </w:r>
      <w:r>
        <w:rPr>
          <w:i/>
          <w:iCs/>
        </w:rPr>
        <w:t xml:space="preserve">toggle</w:t>
      </w:r>
      <w:r>
        <w:t xml:space="preserve"> </w:t>
      </w:r>
      <w:r>
        <w:t xml:space="preserve">día↔hora y</w:t>
      </w:r>
      <w:r>
        <w:t xml:space="preserve"> </w:t>
      </w:r>
      <w:r>
        <w:rPr>
          <w:i/>
          <w:iCs/>
        </w:rPr>
        <w:t xml:space="preserve">slicers</w:t>
      </w:r>
      <w:r>
        <w:t xml:space="preserve"> </w:t>
      </w:r>
      <w:r>
        <w:t xml:space="preserve">de categoría/marca.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Desplegado en Power BI Service</w:t>
      </w:r>
      <w:r>
        <w:t xml:space="preserve"> </w:t>
      </w:r>
      <w:r>
        <w:t xml:space="preserve">(requisito de despliegue, 10 %).</w:t>
      </w:r>
      <w:r>
        <w:t xml:space="preserve"> </w:t>
      </w:r>
      <w:r>
        <w:rPr>
          <w:i/>
          <w:iCs/>
        </w:rPr>
        <w:t xml:space="preserve">[completar: enlace público accesible]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Pendiente (v2):</w:t>
      </w:r>
      <w:r>
        <w:t xml:space="preserve"> </w:t>
      </w:r>
      <w:r>
        <w:t xml:space="preserve">conectar los</w:t>
      </w:r>
      <w:r>
        <w:t xml:space="preserve"> </w:t>
      </w:r>
      <w:r>
        <w:rPr>
          <w:b/>
          <w:bCs/>
        </w:rPr>
        <w:t xml:space="preserve">scores del modelo</w:t>
      </w:r>
      <w:r>
        <w:t xml:space="preserve"> </w:t>
      </w:r>
      <w:r>
        <w:t xml:space="preserve">(Contrato 2 de §3.3) y la</w:t>
      </w:r>
      <w:r>
        <w:t xml:space="preserve"> </w:t>
      </w:r>
      <w:r>
        <w:rPr>
          <w:b/>
          <w:bCs/>
        </w:rPr>
        <w:t xml:space="preserve">matriz de oportunidad</w:t>
      </w:r>
      <w:r>
        <w:t xml:space="preserve"> </w:t>
      </w:r>
      <w:r>
        <w:t xml:space="preserve">(probabilidad × valor) para cerrar el targeting del A/B.</w:t>
      </w:r>
      <w:r>
        <w:t xml:space="preserve"> </w:t>
      </w:r>
      <w:r>
        <w:rPr>
          <w:i/>
          <w:iCs/>
        </w:rPr>
        <w:t xml:space="preserve">(El tablero está en finalización por Kelly.)</w:t>
      </w:r>
    </w:p>
    <w:bookmarkEnd w:id="47"/>
    <w:bookmarkStart w:id="48" w:name="validación"/>
    <w:p>
      <w:pPr>
        <w:pStyle w:val="Heading3"/>
      </w:pPr>
      <w:r>
        <w:t xml:space="preserve">5.5 Validación</w:t>
      </w:r>
    </w:p>
    <w:p>
      <w:pPr>
        <w:pStyle w:val="FirstParagraph"/>
      </w:pPr>
      <w:r>
        <w:t xml:space="preserve">Los CSV se generan con las</w:t>
      </w:r>
      <w:r>
        <w:t xml:space="preserve"> </w:t>
      </w:r>
      <w:r>
        <w:rPr>
          <w:b/>
          <w:bCs/>
        </w:rPr>
        <w:t xml:space="preserve">mismas definiciones del EDA</w:t>
      </w:r>
      <w:r>
        <w:t xml:space="preserve"> </w:t>
      </w:r>
      <w:r>
        <w:t xml:space="preserve">→ los cortes por categoría/marca/segmento</w:t>
      </w:r>
      <w:r>
        <w:t xml:space="preserve"> </w:t>
      </w:r>
      <w:r>
        <w:rPr>
          <w:b/>
          <w:bCs/>
        </w:rPr>
        <w:t xml:space="preserve">cuadran al céntimo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eda_ecommerce.ipynb</w:t>
      </w:r>
      <w:r>
        <w:t xml:space="preserve">. Dos validaciones explícitas: (1) la migración a Spark SQL produce los</w:t>
      </w:r>
      <w:r>
        <w:t xml:space="preserve"> </w:t>
      </w:r>
      <w:r>
        <w:rPr>
          <w:b/>
          <w:bCs/>
        </w:rPr>
        <w:t xml:space="preserve">mismos 12 CSV</w:t>
      </w:r>
      <w:r>
        <w:t xml:space="preserve"> </w:t>
      </w:r>
      <w:r>
        <w:t xml:space="preserve">que la versión PySpark (verificado; solo ±0.01 en</w:t>
      </w:r>
      <w:r>
        <w:t xml:space="preserve"> </w:t>
      </w:r>
      <w:r>
        <w:rPr>
          <w:rStyle w:val="VerbatimChar"/>
        </w:rPr>
        <w:t xml:space="preserve">ticket_medio</w:t>
      </w:r>
      <w:r>
        <w:t xml:space="preserve"> </w:t>
      </w:r>
      <w:r>
        <w:t xml:space="preserve">por redondeo); (2)</w:t>
      </w:r>
      <w:r>
        <w:t xml:space="preserve"> </w:t>
      </w:r>
      <w:r>
        <w:rPr>
          <w:b/>
          <w:bCs/>
        </w:rPr>
        <w:t xml:space="preserve">gotcha documentado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agg_funnel_categoria</w:t>
      </w:r>
      <w:r>
        <w:t xml:space="preserve">/</w:t>
      </w:r>
      <w:r>
        <w:rPr>
          <w:rStyle w:val="VerbatimChar"/>
        </w:rPr>
        <w:t xml:space="preserve">agg_revenue_en_juego</w:t>
      </w:r>
      <w:r>
        <w:t xml:space="preserve"> </w:t>
      </w:r>
      <w:r>
        <w:rPr>
          <w:b/>
          <w:bCs/>
        </w:rPr>
        <w:t xml:space="preserve">excluyen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</w:t>
      </w:r>
      <w:r>
        <w:t xml:space="preserve"> </w:t>
      </w:r>
      <w:r>
        <w:t xml:space="preserve">(~32 %), por lo que el</w:t>
      </w:r>
      <w:r>
        <w:t xml:space="preserve"> </w:t>
      </w:r>
      <w:r>
        <w:rPr>
          <w:b/>
          <w:bCs/>
        </w:rPr>
        <w:t xml:space="preserve">KPI global</w:t>
      </w:r>
      <w:r>
        <w:t xml:space="preserve"> </w:t>
      </w:r>
      <w:r>
        <w:t xml:space="preserve">del titular (cart 3.86 % / conv 2.27 % / abandono 41.19 % / 903 k carritos / $250.4 M) se toma de</w:t>
      </w:r>
      <w:r>
        <w:t xml:space="preserve"> </w:t>
      </w:r>
      <w:r>
        <w:rPr>
          <w:rStyle w:val="VerbatimChar"/>
        </w:rPr>
        <w:t xml:space="preserve">agg_funnel_global</w:t>
      </w:r>
      <w:r>
        <w:t xml:space="preserve"> </w:t>
      </w:r>
      <w:r>
        <w:t xml:space="preserve">(incl. Unknown),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 sumar las filas por categoría.</w:t>
      </w:r>
    </w:p>
    <w:bookmarkEnd w:id="48"/>
    <w:bookmarkEnd w:id="49"/>
    <w:bookmarkStart w:id="50" w:name="conclusiones-generales-del-proyecto"/>
    <w:p>
      <w:pPr>
        <w:pStyle w:val="Heading2"/>
      </w:pPr>
      <w:r>
        <w:t xml:space="preserve">6. Conclusiones generales del proyecto</w:t>
      </w:r>
    </w:p>
    <w:p>
      <w:pPr>
        <w:pStyle w:val="Compact"/>
        <w:numPr>
          <w:ilvl w:val="0"/>
          <w:numId w:val="1016"/>
        </w:numPr>
      </w:pPr>
      <w:r>
        <w:t xml:space="preserve">Respuesta a la Pregunta de Oro: dónde se concentra la fuga y qué segmento es la oportunidad.</w:t>
      </w:r>
    </w:p>
    <w:p>
      <w:pPr>
        <w:pStyle w:val="Compact"/>
        <w:numPr>
          <w:ilvl w:val="0"/>
          <w:numId w:val="1016"/>
        </w:numPr>
      </w:pPr>
      <w:r>
        <w:t xml:space="preserve">Recomendaciones accionables (las dos palancas + segmento C0 + A/B test).</w:t>
      </w:r>
    </w:p>
    <w:p>
      <w:pPr>
        <w:pStyle w:val="Compact"/>
        <w:numPr>
          <w:ilvl w:val="0"/>
          <w:numId w:val="1016"/>
        </w:numPr>
      </w:pPr>
      <w:r>
        <w:t xml:space="preserve">Aporte por materia (ML / Grandes Datos / Visualización).</w:t>
      </w:r>
    </w:p>
    <w:bookmarkEnd w:id="50"/>
    <w:bookmarkStart w:id="51" w:name="referencias-1"/>
    <w:p>
      <w:pPr>
        <w:pStyle w:val="Heading2"/>
      </w:pPr>
      <w:r>
        <w:t xml:space="preserve">7. Referencias</w:t>
      </w:r>
    </w:p>
    <w:p>
      <w:r>
        <w:pict>
          <v:rect style="width:0;height:1.5pt" o:hralign="center" o:hrstd="t" o:hr="t"/>
        </w:pic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2026-06-08T23:10:18Z</dcterms:created>
  <dcterms:modified xsi:type="dcterms:W3CDTF">2026-06-08T23:10:18Z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