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help with reproducibility because the R Notebook easily</w:t>
      </w:r>
      <w:r>
        <w:t xml:space="preserve"> </w:t>
      </w:r>
      <w:r>
        <w:t xml:space="preserve">can be shared between colleagues or partners who works with the same</w:t>
      </w:r>
      <w:r>
        <w:t xml:space="preserve"> </w:t>
      </w:r>
      <w:r>
        <w:t xml:space="preserve">articles or forexemple are sharing an analyse. It is actually a great</w:t>
      </w:r>
      <w:r>
        <w:t xml:space="preserve"> </w:t>
      </w:r>
      <w:r>
        <w:t xml:space="preserve">tool for 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3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rPr>
          <w:bCs/>
          <w:b/>
        </w:rPr>
        <w:t xml:space="preserve">R notebook</w:t>
      </w:r>
      <w:r>
        <w:t xml:space="preserve"> </w:t>
      </w:r>
      <w:r>
        <w:t xml:space="preserve">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 input</w:t>
      </w:r>
      <w:r>
        <w:t xml:space="preserve"> </w:t>
      </w:r>
      <w:r>
        <w:t xml:space="preserve">Grolemund (n.d.</w:t>
      </w:r>
      <w:r>
        <w:rPr>
          <w:iCs/>
          <w:i/>
          <w:bCs/>
          <w:b/>
        </w:rPr>
        <w:t xml:space="preserve">(skrevet rett av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og må fikses)</w:t>
      </w:r>
      <w:r>
        <w:t xml:space="preserve">)</w:t>
      </w:r>
      <w:r>
        <w:t xml:space="preserve">{.ul}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 </w:t>
      </w:r>
      <w:r>
        <w:rPr>
          <w:iCs/>
          <w:i/>
          <w:bCs/>
          <w:b/>
          <w:u w:val="single"/>
        </w:rPr>
        <w:t xml:space="preserve">skrevet rett av og må fikses</w:t>
      </w:r>
      <w:r>
        <w:t xml:space="preserve"> </w:t>
      </w:r>
      <w:r>
        <w:t xml:space="preserve">Bollen et al. (2015)</w:t>
      </w:r>
    </w:p>
    <w:p>
      <w:pPr>
        <w:pStyle w:val="BodyText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Cs/>
          <w:b/>
        </w:rPr>
        <w:t xml:space="preserve">Reproducibility</w:t>
      </w:r>
    </w:p>
    <w:p>
      <w:pPr>
        <w:pStyle w:val="BodyText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</w:t>
      </w:r>
    </w:p>
    <w:bookmarkEnd w:id="23"/>
    <w:bookmarkStart w:id="24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4"/>
    <w:bookmarkStart w:id="38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5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End w:id="25"/>
    <w:bookmarkStart w:id="37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Start w:id="36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p>
      <w:pPr>
        <w:pStyle w:val="BodyText"/>
      </w:pPr>
      <w:r>
        <w:t xml:space="preserve">Bollen et al. (2015)</w:t>
      </w:r>
    </w:p>
    <w:p>
      <w:pPr>
        <w:pStyle w:val="BodyText"/>
      </w:pPr>
      <w:r>
        <w:t xml:space="preserve">Jasny et al. (2011)</w:t>
      </w:r>
    </w:p>
    <w:p>
      <w:pPr>
        <w:pStyle w:val="BodyText"/>
      </w:pPr>
      <w:r>
        <w:t xml:space="preserve">Grolemund (n.d.)</w:t>
      </w:r>
    </w:p>
    <w:bookmarkStart w:id="35" w:name="refs"/>
    <w:bookmarkStart w:id="27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6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7"/>
    <w:bookmarkStart w:id="28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28"/>
    <w:bookmarkStart w:id="30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9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0"/>
    <w:bookmarkStart w:id="32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31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32"/>
    <w:bookmarkStart w:id="34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3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6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9" Target="https://doi.org/10.1126/scitranslmed.aaf5027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6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9" Target="https://doi.org/10.1126/scitranslmed.aaf5027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Ann Elisabeth Jacobsen og Heidi Marie Rolfsnes</dc:creator>
  <cp:keywords/>
  <dcterms:created xsi:type="dcterms:W3CDTF">2021-09-19T11:39:30Z</dcterms:created>
  <dcterms:modified xsi:type="dcterms:W3CDTF">2021-09-19T11:39:30Z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date">
    <vt:lpwstr>September 2021</vt:lpwstr>
  </property>
  <property fmtid="{D5CDD505-2E9C-101B-9397-08002B2CF9AE}" pid="4" name="output">
    <vt:lpwstr/>
  </property>
</Properties>
</file>