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a"/>
        <w:tblW w:w="10127"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4003"/>
        <w:gridCol w:w="250"/>
        <w:gridCol w:w="5874"/>
      </w:tblGrid>
      <w:tr>
        <w:trPr/>
        <w:tc>
          <w:tcPr>
            <w:tcW w:w="4003" w:type="dxa"/>
            <w:tcBorders/>
          </w:tcPr>
          <w:p>
            <w:pPr>
              <w:pStyle w:val="Normal"/>
              <w:tabs>
                <w:tab w:val="clear" w:pos="720"/>
                <w:tab w:val="center" w:pos="1800" w:leader="none"/>
              </w:tabs>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ĐẠI HỌC QUỐC GIA</w:t>
            </w:r>
          </w:p>
          <w:p>
            <w:pPr>
              <w:pStyle w:val="Normal"/>
              <w:tabs>
                <w:tab w:val="clear" w:pos="720"/>
                <w:tab w:val="center" w:pos="1800" w:leader="none"/>
              </w:tabs>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THÀNH PHỐ HỒ CHÍ MINH</w:t>
            </w:r>
          </w:p>
          <w:p>
            <w:pPr>
              <w:pStyle w:val="Normal"/>
              <w:tabs>
                <w:tab w:val="clear" w:pos="720"/>
                <w:tab w:val="center" w:pos="1800" w:leader="none"/>
                <w:tab w:val="center" w:pos="6840" w:leader="none"/>
              </w:tabs>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TRƯỜNG ĐẠI HỌC QUỐC TẾ</w:t>
            </w:r>
          </w:p>
          <w:p>
            <w:pPr>
              <w:pStyle w:val="Normal"/>
              <w:tabs>
                <w:tab w:val="clear" w:pos="720"/>
                <w:tab w:val="center" w:pos="1800" w:leader="none"/>
              </w:tabs>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0" distB="0" distL="0" distR="0" simplePos="0" relativeHeight="2" behindDoc="0" locked="0" layoutInCell="1" allowOverlap="1">
                  <wp:simplePos x="0" y="0"/>
                  <wp:positionH relativeFrom="column">
                    <wp:posOffset>585470</wp:posOffset>
                  </wp:positionH>
                  <wp:positionV relativeFrom="paragraph">
                    <wp:posOffset>43180</wp:posOffset>
                  </wp:positionV>
                  <wp:extent cx="1024890" cy="127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1024890" cy="12700"/>
                          </a:xfrm>
                          <a:prstGeom prst="rect">
                            <a:avLst/>
                          </a:prstGeom>
                          <a:noFill/>
                        </pic:spPr>
                      </pic:pic>
                    </a:graphicData>
                  </a:graphic>
                </wp:anchor>
              </w:drawing>
              <mc:AlternateContent>
                <mc:Choice Requires="wps">
                  <w:drawing>
                    <wp:anchor distT="5080" distB="5080" distL="5080" distR="5080" simplePos="0" relativeHeight="6" behindDoc="0" locked="0" layoutInCell="1" allowOverlap="1" wp14:anchorId="58066BFA">
                      <wp:simplePos x="0" y="0"/>
                      <wp:positionH relativeFrom="column">
                        <wp:posOffset>705485</wp:posOffset>
                      </wp:positionH>
                      <wp:positionV relativeFrom="paragraph">
                        <wp:posOffset>48895</wp:posOffset>
                      </wp:positionV>
                      <wp:extent cx="770255" cy="0"/>
                      <wp:effectExtent l="5080" t="5080" r="5080" b="5080"/>
                      <wp:wrapNone/>
                      <wp:docPr id="2" name="Straight Connector 4"/>
                      <a:graphic xmlns:a="http://schemas.openxmlformats.org/drawingml/2006/main">
                        <a:graphicData uri="http://schemas.microsoft.com/office/word/2010/wordprocessingShape">
                          <wps:wsp>
                            <wps:cNvSpPr/>
                            <wps:spPr>
                              <a:xfrm>
                                <a:off x="0" y="0"/>
                                <a:ext cx="77040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55.55pt,3.85pt" to="116.15pt,3.85pt" stroked="t" o:allowincell="t" style="position:absolute" wp14:anchorId="58066BFA">
                      <v:stroke color="black" weight="9360" joinstyle="round" endcap="flat"/>
                      <v:fill o:detectmouseclick="t" on="false"/>
                      <w10:wrap type="none"/>
                    </v:line>
                  </w:pict>
                </mc:Fallback>
              </mc:AlternateContent>
            </w:r>
          </w:p>
        </w:tc>
        <w:tc>
          <w:tcPr>
            <w:tcW w:w="250" w:type="dxa"/>
            <w:tcBorders/>
          </w:tcPr>
          <w:p>
            <w:pPr>
              <w:pStyle w:val="Normal"/>
              <w:tabs>
                <w:tab w:val="clear" w:pos="720"/>
                <w:tab w:val="center" w:pos="1800" w:leader="none"/>
              </w:tabs>
              <w:spacing w:lineRule="auto" w:line="24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c>
          <w:tcPr>
            <w:tcW w:w="5874" w:type="dxa"/>
            <w:tcBorders/>
          </w:tcPr>
          <w:p>
            <w:pPr>
              <w:pStyle w:val="Normal"/>
              <w:tabs>
                <w:tab w:val="clear" w:pos="720"/>
                <w:tab w:val="center" w:pos="1800" w:leader="none"/>
              </w:tabs>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CỘNG HOÀ XÃ HỘI CHỦ NGHĨA VIỆT NAM</w:t>
            </w:r>
          </w:p>
          <w:p>
            <w:pPr>
              <w:pStyle w:val="Normal"/>
              <w:tabs>
                <w:tab w:val="clear" w:pos="720"/>
                <w:tab w:val="center" w:pos="1800" w:leader="none"/>
              </w:tabs>
              <w:spacing w:lineRule="auto" w:line="240"/>
              <w:jc w:val="center"/>
              <w:rPr>
                <w:rFonts w:ascii="Times New Roman" w:hAnsi="Times New Roman" w:eastAsia="Times New Roman" w:cs="Times New Roman"/>
                <w:sz w:val="24"/>
                <w:szCs w:val="24"/>
              </w:rPr>
            </w:pPr>
            <w:r>
              <w:drawing>
                <wp:anchor distT="0" distB="0" distL="0" distR="0" simplePos="0" relativeHeight="3" behindDoc="0" locked="0" layoutInCell="1" allowOverlap="1">
                  <wp:simplePos x="0" y="0"/>
                  <wp:positionH relativeFrom="column">
                    <wp:posOffset>749300</wp:posOffset>
                  </wp:positionH>
                  <wp:positionV relativeFrom="paragraph">
                    <wp:posOffset>200660</wp:posOffset>
                  </wp:positionV>
                  <wp:extent cx="1971675" cy="12700"/>
                  <wp:effectExtent l="0" t="0" r="0" b="0"/>
                  <wp:wrapNone/>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pic:cNvPicPr>
                            <a:picLocks noChangeAspect="1" noChangeArrowheads="1"/>
                          </pic:cNvPicPr>
                        </pic:nvPicPr>
                        <pic:blipFill>
                          <a:blip r:embed="rId3"/>
                          <a:stretch>
                            <a:fillRect/>
                          </a:stretch>
                        </pic:blipFill>
                        <pic:spPr bwMode="auto">
                          <a:xfrm>
                            <a:off x="0" y="0"/>
                            <a:ext cx="1971675" cy="12700"/>
                          </a:xfrm>
                          <a:prstGeom prst="rect">
                            <a:avLst/>
                          </a:prstGeom>
                          <a:noFill/>
                        </pic:spPr>
                      </pic:pic>
                    </a:graphicData>
                  </a:graphic>
                </wp:anchor>
              </w:drawing>
              <mc:AlternateContent>
                <mc:Choice Requires="wps">
                  <w:drawing>
                    <wp:anchor distT="5080" distB="5080" distL="5080" distR="5080" simplePos="0" relativeHeight="7" behindDoc="0" locked="0" layoutInCell="1" allowOverlap="1" wp14:anchorId="41D0E1F0">
                      <wp:simplePos x="0" y="0"/>
                      <wp:positionH relativeFrom="column">
                        <wp:posOffset>814705</wp:posOffset>
                      </wp:positionH>
                      <wp:positionV relativeFrom="paragraph">
                        <wp:posOffset>213360</wp:posOffset>
                      </wp:positionV>
                      <wp:extent cx="1997075" cy="635"/>
                      <wp:effectExtent l="5080" t="5080" r="5080" b="5080"/>
                      <wp:wrapNone/>
                      <wp:docPr id="4" name="Straight Connector 4"/>
                      <a:graphic xmlns:a="http://schemas.openxmlformats.org/drawingml/2006/main">
                        <a:graphicData uri="http://schemas.microsoft.com/office/word/2010/wordprocessingShape">
                          <wps:wsp>
                            <wps:cNvSpPr/>
                            <wps:spPr>
                              <a:xfrm>
                                <a:off x="0" y="0"/>
                                <a:ext cx="199692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64.15pt,16.8pt" to="221.35pt,16.8pt" stroked="t" o:allowincell="t" style="position:absolute" wp14:anchorId="41D0E1F0">
                      <v:stroke color="black" weight="9360" joinstyle="round" endcap="flat"/>
                      <v:fill o:detectmouseclick="t" on="false"/>
                      <w10:wrap type="none"/>
                    </v:line>
                  </w:pict>
                </mc:Fallback>
              </mc:AlternateContent>
            </w:r>
            <w:r>
              <w:rPr>
                <w:rFonts w:eastAsia="Times New Roman" w:cs="Times New Roman" w:ascii="Times New Roman" w:hAnsi="Times New Roman"/>
                <w:b/>
                <w:bCs/>
                <w:sz w:val="24"/>
                <w:szCs w:val="24"/>
              </w:rPr>
              <w:t>Độc Lập – Tự Do – Hạnh Phúc</w:t>
            </w:r>
          </w:p>
        </w:tc>
      </w:tr>
      <w:tr>
        <w:trPr/>
        <w:tc>
          <w:tcPr>
            <w:tcW w:w="4003" w:type="dxa"/>
            <w:tcBorders/>
          </w:tcPr>
          <w:p>
            <w:pPr>
              <w:pStyle w:val="Normal"/>
              <w:tabs>
                <w:tab w:val="clear" w:pos="720"/>
                <w:tab w:val="center" w:pos="1800" w:leader="none"/>
              </w:tabs>
              <w:spacing w:lineRule="auto" w:line="240"/>
              <w:jc w:val="center"/>
              <w:rPr>
                <w:rFonts w:ascii="Times New Roman" w:hAnsi="Times New Roman" w:eastAsia="Times New Roman" w:cs="Times New Roman"/>
                <w:sz w:val="26"/>
                <w:szCs w:val="26"/>
              </w:rPr>
            </w:pPr>
            <w:bookmarkStart w:id="0" w:name="_e3l8tupgikvl"/>
            <w:bookmarkEnd w:id="0"/>
            <w:r>
              <w:rPr>
                <w:rFonts w:eastAsia="Times New Roman" w:cs="Times New Roman" w:ascii="Times New Roman" w:hAnsi="Times New Roman"/>
                <w:sz w:val="26"/>
                <w:szCs w:val="26"/>
              </w:rPr>
              <w:t>Số: 02/2026/HĐNN/QLKH</w:t>
            </w:r>
          </w:p>
        </w:tc>
        <w:tc>
          <w:tcPr>
            <w:tcW w:w="250" w:type="dxa"/>
            <w:tcBorders/>
          </w:tcPr>
          <w:p>
            <w:pPr>
              <w:pStyle w:val="Normal"/>
              <w:tabs>
                <w:tab w:val="clear" w:pos="720"/>
                <w:tab w:val="center" w:pos="1800" w:leader="none"/>
              </w:tabs>
              <w:spacing w:lineRule="auto" w:line="240"/>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tc>
        <w:tc>
          <w:tcPr>
            <w:tcW w:w="5874" w:type="dxa"/>
            <w:tcBorders/>
          </w:tcPr>
          <w:p>
            <w:pPr>
              <w:pStyle w:val="Normal"/>
              <w:tabs>
                <w:tab w:val="clear" w:pos="720"/>
                <w:tab w:val="center" w:pos="1800" w:leader="none"/>
              </w:tabs>
              <w:spacing w:lineRule="auto" w:line="240"/>
              <w:jc w:val="center"/>
              <w:rPr>
                <w:rFonts w:ascii="Times New Roman" w:hAnsi="Times New Roman" w:eastAsia="Times New Roman" w:cs="Times New Roman"/>
                <w:b/>
                <w:bCs/>
                <w:sz w:val="26"/>
                <w:szCs w:val="26"/>
              </w:rPr>
            </w:pPr>
            <w:r>
              <w:rPr>
                <w:rFonts w:eastAsia="Times New Roman" w:cs="Times New Roman" w:ascii="Times New Roman" w:hAnsi="Times New Roman"/>
                <w:i/>
                <w:iCs/>
                <w:sz w:val="26"/>
                <w:szCs w:val="26"/>
              </w:rPr>
              <w:t>Thành phố Hồ Chí Minh, ngày 15 tháng 3 năm 2026</w:t>
            </w:r>
          </w:p>
        </w:tc>
      </w:tr>
    </w:tbl>
    <w:p>
      <w:pPr>
        <w:pStyle w:val="Normal"/>
        <w:keepNext w:val="true"/>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keepNext w:val="true"/>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 xml:space="preserve">HỢP ĐỒNG GIAO NHIỆM VỤ </w:t>
      </w:r>
    </w:p>
    <w:p>
      <w:pPr>
        <w:pStyle w:val="Normal"/>
        <w:keepNext w:val="true"/>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KHOA HỌC VÀ CÔNG NGHỆ</w:t>
      </w:r>
    </w:p>
    <w:p>
      <w:pPr>
        <w:pStyle w:val="Normal"/>
        <w:spacing w:lineRule="auto" w:line="24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Nhiệm vụ KH&amp;CN có nguồn kinh phí nước ngoài - Năm 2025</w:t>
      </w:r>
    </w:p>
    <w:p>
      <w:pPr>
        <w:pStyle w:val="Normal"/>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xml:space="preserve">(Dùng cho việc cơ quan chủ trì giao cho chủ nhiệm đề tài/dự án thực hiện nhiệm vụ </w:t>
      </w:r>
    </w:p>
    <w:p>
      <w:pPr>
        <w:pStyle w:val="Normal"/>
        <w:spacing w:lineRule="auto" w:line="24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khoa học và công nghệ)</w:t>
      </w:r>
    </w:p>
    <w:p>
      <w:pPr>
        <w:pStyle w:val="Normal"/>
        <w:spacing w:lineRule="auto" w:line="240"/>
        <w:rPr>
          <w:rFonts w:ascii="Times New Roman" w:hAnsi="Times New Roman" w:eastAsia="Times New Roman" w:cs="Times New Roman"/>
          <w:sz w:val="14"/>
          <w:szCs w:val="14"/>
        </w:rPr>
      </w:pPr>
      <w:r>
        <w:rPr>
          <w:rFonts w:eastAsia="Times New Roman" w:cs="Times New Roman" w:ascii="Times New Roman" w:hAnsi="Times New Roman"/>
          <w:sz w:val="14"/>
          <w:szCs w:val="14"/>
        </w:rPr>
      </w:r>
    </w:p>
    <w:p>
      <w:pPr>
        <w:pStyle w:val="Normal"/>
        <w:spacing w:lineRule="auto" w:line="360"/>
        <w:ind w:firstLine="720"/>
        <w:jc w:val="both"/>
        <w:rPr>
          <w:rFonts w:ascii="Times New Roman" w:hAnsi="Times New Roman" w:eastAsia="Times New Roman" w:cs="Times New Roman"/>
          <w:sz w:val="26"/>
          <w:szCs w:val="26"/>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6"/>
          <w:szCs w:val="26"/>
        </w:rPr>
        <w:t>Căn cứ Luật Khoa học và công nghệ; Luật Dân sự; Luật Sở hữu Trí tuệ, Luật Đấu thầu;</w:t>
      </w:r>
    </w:p>
    <w:p>
      <w:pPr>
        <w:pStyle w:val="Normal"/>
        <w:spacing w:lineRule="auto" w:line="360"/>
        <w:ind w:firstLine="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Căn cứ Quyết định số 260/2003/QĐ-TTg ngày 05 tháng 12 năm 2003 của Thủ tướng Chính phủ về việc thành lập Trường Đại học Quốc tế thuộc Đại học Quốc gia Tp.HCM;</w:t>
      </w:r>
    </w:p>
    <w:p>
      <w:pPr>
        <w:pStyle w:val="Normal"/>
        <w:spacing w:lineRule="auto" w:line="360"/>
        <w:ind w:firstLine="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Căn cứ Quyết định số 867/QĐ-ĐHQG ngày 17 tháng 8 năm 2016 của Giám đốc Đại học Quốc gia Thành phố Hồ Chí Minh về việc ban hành Quy chế tổ chức và hoạt động của trường đại học thành viên và khoa trực thuộc Đại học Quốc gia Tp.HCM;</w:t>
      </w:r>
    </w:p>
    <w:p>
      <w:pPr>
        <w:pStyle w:val="Normal"/>
        <w:spacing w:lineRule="auto" w:line="360"/>
        <w:ind w:firstLine="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Căn cứ Quyết định số 261/QĐ-ĐHQG-TCCB ngày 05 tháng 4 năm 2010 của </w:t>
        <w:br/>
        <w:t>Giám đốc Đại học Quốc gia Tp.HCM về việc ban hành Quy định thực hiện quyền tự chủ, tự chịu trách nhiệm đối với các trường đại học thành viên;</w:t>
      </w:r>
    </w:p>
    <w:p>
      <w:pPr>
        <w:pStyle w:val="Normal"/>
        <w:spacing w:lineRule="auto" w:line="360"/>
        <w:ind w:firstLine="720"/>
        <w:jc w:val="both"/>
        <w:rPr>
          <w:rFonts w:ascii="Times New Roman" w:hAnsi="Times New Roman" w:eastAsia="Times New Roman" w:cs="Times New Roman"/>
          <w:i/>
          <w:iCs/>
          <w:sz w:val="26"/>
          <w:szCs w:val="26"/>
        </w:rPr>
      </w:pPr>
      <w:r>
        <w:rPr>
          <w:rFonts w:eastAsia="Times New Roman" w:cs="Times New Roman" w:ascii="Times New Roman" w:hAnsi="Times New Roman"/>
          <w:sz w:val="26"/>
          <w:szCs w:val="26"/>
        </w:rPr>
        <w:t>- Căn cứ Nghị quyết số 18/NQ-HĐT ngày 16 tháng 5 năm 2022 của Hội đồng trường Trường Đại học Quốc tế về việc ban hành Quy chế Tổ chức và hoạt động của Trường Đại học Quốc tế;</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Căn cứ vào Thư chấp nhận do hiệu trưởng trường Đại học Quốc tế ngày 23 tháng 07 năm 2025 về việc trường Đại học Quốc tế nhận làm cơ quan chủ trì cho đề tài </w:t>
      </w:r>
      <w:r>
        <w:rPr>
          <w:rFonts w:eastAsia="Times New Roman" w:cs="Times New Roman" w:ascii="Times New Roman" w:hAnsi="Times New Roman"/>
          <w:b/>
          <w:bCs/>
          <w:sz w:val="26"/>
          <w:szCs w:val="26"/>
        </w:rPr>
        <w:t>“Early Detection of Alzheimer’s Disease and Mild Cognitive Impairment in Vietnamese Older Adults through Speech Analysis.”</w:t>
      </w:r>
      <w:r>
        <w:rPr>
          <w:rFonts w:eastAsia="Times New Roman" w:cs="Times New Roman" w:ascii="Times New Roman" w:hAnsi="Times New Roman"/>
          <w:sz w:val="26"/>
          <w:szCs w:val="26"/>
        </w:rPr>
        <w:t xml:space="preserve"> Theo</w:t>
      </w:r>
      <w:r>
        <w:rPr>
          <w:rFonts w:eastAsia="Times New Roman" w:cs="Times New Roman" w:ascii="Times New Roman" w:hAnsi="Times New Roman"/>
          <w:sz w:val="28"/>
          <w:szCs w:val="28"/>
        </w:rPr>
        <w:t xml:space="preserve"> </w:t>
      </w:r>
      <w:r>
        <w:rPr>
          <w:rFonts w:eastAsia="Times New Roman" w:cs="Times New Roman" w:ascii="Times New Roman" w:hAnsi="Times New Roman"/>
          <w:sz w:val="26"/>
          <w:szCs w:val="26"/>
        </w:rPr>
        <w:t>đó PGS.TS. Hà Thị Thanh Hương được trúng tuyển làm chủ nhiệm nhiệm vụ KH&amp;CN thực hiện tại trường Đại học Quốc tế.</w:t>
      </w:r>
    </w:p>
    <w:p>
      <w:pPr>
        <w:pStyle w:val="Normal"/>
        <w:spacing w:lineRule="auto" w:line="240"/>
        <w:jc w:val="both"/>
        <w:rPr>
          <w:rFonts w:ascii="Times New Roman" w:hAnsi="Times New Roman" w:eastAsia="Times New Roman" w:cs="Times New Roman"/>
          <w:sz w:val="2"/>
          <w:szCs w:val="2"/>
        </w:rPr>
      </w:pPr>
      <w:r>
        <w:rPr>
          <w:rFonts w:eastAsia="Times New Roman" w:cs="Times New Roman" w:ascii="Times New Roman" w:hAnsi="Times New Roman"/>
          <w:sz w:val="2"/>
          <w:szCs w:val="2"/>
        </w:rPr>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Chúng tôi gồm: </w:t>
      </w:r>
    </w:p>
    <w:p>
      <w:pPr>
        <w:pStyle w:val="Normal"/>
        <w:spacing w:lineRule="auto" w:line="360"/>
        <w:ind w:hanging="425" w:start="992"/>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Bên giao nhiệm vụ (Bên A):</w:t>
      </w:r>
      <w:r>
        <w:rPr>
          <w:rFonts w:eastAsia="Times New Roman" w:cs="Times New Roman" w:ascii="Times New Roman" w:hAnsi="Times New Roman"/>
          <w:sz w:val="26"/>
          <w:szCs w:val="26"/>
        </w:rPr>
        <w:t xml:space="preserve"> </w:t>
      </w:r>
      <w:r>
        <w:rPr>
          <w:rFonts w:eastAsia="Times New Roman" w:cs="Times New Roman" w:ascii="Times New Roman" w:hAnsi="Times New Roman"/>
          <w:b/>
          <w:bCs/>
          <w:sz w:val="26"/>
          <w:szCs w:val="26"/>
        </w:rPr>
        <w:t xml:space="preserve">Trường Đại học Quốc tế. </w:t>
      </w:r>
    </w:p>
    <w:p>
      <w:pPr>
        <w:pStyle w:val="Normal"/>
        <w:spacing w:before="0" w:after="12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Do Ông</w:t>
        <w:tab/>
        <w:tab/>
        <w:t xml:space="preserve">: </w:t>
      </w:r>
      <w:r>
        <w:rPr>
          <w:rFonts w:eastAsia="Times New Roman" w:cs="Times New Roman" w:ascii="Times New Roman" w:hAnsi="Times New Roman"/>
          <w:b/>
          <w:bCs/>
          <w:sz w:val="26"/>
          <w:szCs w:val="26"/>
        </w:rPr>
        <w:t>PGS.TS. Đinh Đức Anh Vũ</w:t>
        <w:tab/>
      </w:r>
      <w:r>
        <w:rPr>
          <w:rFonts w:eastAsia="Times New Roman" w:cs="Times New Roman" w:ascii="Times New Roman" w:hAnsi="Times New Roman"/>
          <w:sz w:val="26"/>
          <w:szCs w:val="26"/>
        </w:rPr>
        <w:t>Chức vụ: Phó Hiệu trưởng</w:t>
      </w:r>
    </w:p>
    <w:p>
      <w:pPr>
        <w:pStyle w:val="Normal"/>
        <w:tabs>
          <w:tab w:val="clear" w:pos="720"/>
          <w:tab w:val="left" w:pos="1800" w:leader="none"/>
        </w:tabs>
        <w:spacing w:lineRule="auto" w:line="360"/>
        <w:ind w:firstLine="1" w:start="567"/>
        <w:jc w:val="both"/>
        <w:rPr>
          <w:rFonts w:ascii="Times New Roman" w:hAnsi="Times New Roman" w:eastAsia="Times New Roman" w:cs="Times New Roman"/>
          <w:b/>
          <w:bCs/>
          <w:i/>
          <w:iCs/>
          <w:sz w:val="26"/>
          <w:szCs w:val="26"/>
        </w:rPr>
      </w:pPr>
      <w:r>
        <w:rPr>
          <w:rFonts w:eastAsia="Times New Roman" w:cs="Times New Roman" w:ascii="Times New Roman" w:hAnsi="Times New Roman"/>
          <w:i/>
          <w:iCs/>
          <w:sz w:val="26"/>
          <w:szCs w:val="26"/>
        </w:rPr>
        <w:t>(Theo Giấy uỷ quyền số 590/UQ-ĐHQT ngày 16/9/2025 của Hiệu trưởng trường Đại học Quốc tế về việc phân công ký văn bản cho Phó Hiệu trưởng)</w:t>
      </w:r>
    </w:p>
    <w:p>
      <w:pPr>
        <w:pStyle w:val="Normal"/>
        <w:spacing w:before="0" w:after="12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Điện thoại</w:t>
        <w:tab/>
        <w:t>: 028.37244270</w:t>
      </w:r>
    </w:p>
    <w:p>
      <w:pPr>
        <w:pStyle w:val="Normal"/>
        <w:spacing w:before="0" w:after="12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Địa chỉ</w:t>
        <w:tab/>
        <w:tab/>
        <w:t>: Khu phố 33, P. Linh Xuân, Tp. Hồ Chí Minh</w:t>
      </w:r>
    </w:p>
    <w:p>
      <w:pPr>
        <w:pStyle w:val="Normal"/>
        <w:spacing w:before="0" w:after="12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Tài khoản</w:t>
        <w:tab/>
        <w:t>: 3140035267</w:t>
      </w:r>
    </w:p>
    <w:p>
      <w:pPr>
        <w:pStyle w:val="Normal"/>
        <w:spacing w:before="0" w:after="12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Ngân hàng</w:t>
        <w:tab/>
        <w:t xml:space="preserve">: Ngân hàng BIDV, chi nhánh Đông Sài Gòn, Tp. Hồ Chí Minh. </w:t>
      </w:r>
    </w:p>
    <w:p>
      <w:pPr>
        <w:pStyle w:val="Normal"/>
        <w:spacing w:lineRule="auto" w:line="360"/>
        <w:jc w:val="both"/>
        <w:rPr>
          <w:rFonts w:ascii="Times New Roman" w:hAnsi="Times New Roman" w:eastAsia="Times New Roman" w:cs="Times New Roman"/>
          <w:sz w:val="4"/>
          <w:szCs w:val="4"/>
        </w:rPr>
      </w:pPr>
      <w:r>
        <w:rPr>
          <w:rFonts w:eastAsia="Times New Roman" w:cs="Times New Roman" w:ascii="Times New Roman" w:hAnsi="Times New Roman"/>
          <w:sz w:val="4"/>
          <w:szCs w:val="4"/>
        </w:rPr>
      </w:r>
    </w:p>
    <w:p>
      <w:pPr>
        <w:pStyle w:val="Normal"/>
        <w:spacing w:lineRule="auto" w:line="360"/>
        <w:ind w:hanging="425" w:start="992"/>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Bên nhận nhiệm vụ (Bên B): Chủ nhiệm nhiệm vụ KH&amp;CN.</w:t>
      </w:r>
    </w:p>
    <w:p>
      <w:pPr>
        <w:pStyle w:val="Normal"/>
        <w:spacing w:lineRule="auto" w:line="360"/>
        <w:ind w:hanging="425" w:start="992"/>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Họ và tên</w:t>
        <w:tab/>
        <w:t>: PGS.TS. Hà Thị Thanh Hương</w:t>
      </w:r>
    </w:p>
    <w:p>
      <w:pPr>
        <w:pStyle w:val="Normal"/>
        <w:spacing w:lineRule="auto" w:line="360"/>
        <w:ind w:hanging="425" w:start="99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Đơn vị</w:t>
        <w:tab/>
        <w:tab/>
        <w:t>: Khoa Kỹ thuật Y Sinh</w:t>
      </w:r>
    </w:p>
    <w:p>
      <w:pPr>
        <w:pStyle w:val="Normal"/>
        <w:spacing w:lineRule="auto" w:line="360"/>
        <w:ind w:hanging="425" w:start="99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Địa chỉ</w:t>
        <w:tab/>
        <w:tab/>
        <w:t>: 621/2/1A Lũy Bán Bích, Phường Phú Thạnh, TP. HCM</w:t>
      </w:r>
    </w:p>
    <w:p>
      <w:pPr>
        <w:pStyle w:val="Normal"/>
        <w:spacing w:lineRule="auto" w:line="360"/>
        <w:ind w:hanging="425" w:start="99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Điện thoại</w:t>
        <w:tab/>
        <w:t>: 0938939445</w:t>
      </w:r>
    </w:p>
    <w:p>
      <w:pPr>
        <w:pStyle w:val="Normal"/>
        <w:spacing w:lineRule="auto" w:line="360"/>
        <w:ind w:hanging="425" w:start="99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Tài khoản</w:t>
        <w:tab/>
        <w:t>: 19033395746010</w:t>
      </w:r>
    </w:p>
    <w:p>
      <w:pPr>
        <w:pStyle w:val="Normal"/>
        <w:spacing w:lineRule="auto" w:line="360"/>
        <w:ind w:hanging="425" w:start="99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Ngân hàng</w:t>
        <w:tab/>
        <w:t>: Techcombank</w:t>
      </w:r>
    </w:p>
    <w:p>
      <w:pPr>
        <w:pStyle w:val="Normal"/>
        <w:spacing w:lineRule="auto" w:line="360"/>
        <w:ind w:hanging="425" w:start="992"/>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Email</w:t>
        <w:tab/>
        <w:tab/>
        <w:t xml:space="preserve">: </w:t>
      </w:r>
      <w:hyperlink r:id="rId4">
        <w:r>
          <w:rPr>
            <w:rStyle w:val="Style3"/>
            <w:rFonts w:eastAsia="Times New Roman" w:cs="Times New Roman" w:ascii="Times New Roman" w:hAnsi="Times New Roman"/>
            <w:color w:val="467886"/>
            <w:sz w:val="26"/>
            <w:szCs w:val="26"/>
            <w:u w:val="single"/>
          </w:rPr>
          <w:t>htthuong@hcmiu.edu.vn</w:t>
        </w:r>
      </w:hyperlink>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Hai bên cùng nhau thỏa thuận và thống nhất ký hợp đồng giao nhiệm vụ khoa học và công nghệ với các điều khoản như sau :</w:t>
      </w:r>
    </w:p>
    <w:p>
      <w:pPr>
        <w:pStyle w:val="Normal"/>
        <w:spacing w:lineRule="auto" w:line="360"/>
        <w:ind w:hanging="425" w:start="992"/>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Điều 1: Nội dung công việc</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Bên A giao cho Bên B thực hiện nhiệm vụ KH&amp;CN là tổ chức, phân công các thành viên nghiên cứu thực hiện các công việc trong khuôn khổ dự án “Early Detection of Alzheimer’s Disease and Mild Cognitive Impairment in Vietnamese Older Adults through Speech Analysis.” Cụ thể như sau: </w:t>
      </w:r>
    </w:p>
    <w:p>
      <w:pPr>
        <w:pStyle w:val="Normal"/>
        <w:numPr>
          <w:ilvl w:val="0"/>
          <w:numId w:val="4"/>
        </w:numPr>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Mục tiêu 1:</w:t>
      </w:r>
      <w:r>
        <w:rPr>
          <w:rFonts w:eastAsia="Times New Roman" w:cs="Times New Roman" w:ascii="Times New Roman" w:hAnsi="Times New Roman"/>
          <w:sz w:val="26"/>
          <w:szCs w:val="26"/>
        </w:rPr>
        <w:t xml:space="preserve"> Xây dựng protocol cho việc thu giọng nói và đánh giá tính khả thi:</w:t>
      </w:r>
    </w:p>
    <w:p>
      <w:pPr>
        <w:pStyle w:val="Normal"/>
        <w:numPr>
          <w:ilvl w:val="0"/>
          <w:numId w:val="1"/>
        </w:numPr>
        <w:tabs>
          <w:tab w:val="clear" w:pos="720"/>
          <w:tab w:val="left" w:pos="993" w:leader="none"/>
        </w:tabs>
        <w:spacing w:lineRule="auto" w:line="360"/>
        <w:ind w:firstLine="709" w:start="0"/>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Công việc 1.1:</w:t>
      </w:r>
      <w:r>
        <w:rPr>
          <w:rFonts w:eastAsia="Times New Roman" w:cs="Times New Roman" w:ascii="Times New Roman" w:hAnsi="Times New Roman"/>
          <w:sz w:val="26"/>
          <w:szCs w:val="26"/>
        </w:rPr>
        <w:t xml:space="preserve"> Hoàn thiện protocol và phê duyệt y đức tại bệnh viện</w:t>
      </w:r>
    </w:p>
    <w:p>
      <w:pPr>
        <w:pStyle w:val="Normal"/>
        <w:numPr>
          <w:ilvl w:val="0"/>
          <w:numId w:val="1"/>
        </w:numPr>
        <w:tabs>
          <w:tab w:val="clear" w:pos="720"/>
          <w:tab w:val="left" w:pos="993" w:leader="none"/>
        </w:tabs>
        <w:spacing w:lineRule="auto" w:line="360"/>
        <w:ind w:firstLine="709" w:start="0"/>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Công việc 1.2:</w:t>
      </w:r>
      <w:r>
        <w:rPr>
          <w:rFonts w:eastAsia="Times New Roman" w:cs="Times New Roman" w:ascii="Times New Roman" w:hAnsi="Times New Roman"/>
          <w:sz w:val="26"/>
          <w:szCs w:val="26"/>
        </w:rPr>
        <w:t xml:space="preserve"> Thực hiện nghiên cứu thí điểm giúp đánh giá:</w:t>
      </w:r>
    </w:p>
    <w:p>
      <w:pPr>
        <w:pStyle w:val="Normal"/>
        <w:numPr>
          <w:ilvl w:val="1"/>
          <w:numId w:val="1"/>
        </w:numPr>
        <w:tabs>
          <w:tab w:val="clear" w:pos="720"/>
          <w:tab w:val="left" w:pos="851" w:leader="none"/>
        </w:tabs>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Tính khả thi của protocol: tuân thủ giao thức, chất lượng âm thanh và đánh giá các nhiệm vụ trong giao thức.</w:t>
      </w:r>
    </w:p>
    <w:p>
      <w:pPr>
        <w:pStyle w:val="Normal"/>
        <w:numPr>
          <w:ilvl w:val="1"/>
          <w:numId w:val="1"/>
        </w:numPr>
        <w:tabs>
          <w:tab w:val="clear" w:pos="720"/>
          <w:tab w:val="left" w:pos="851" w:leader="none"/>
        </w:tabs>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Tính khả thi về nguồn lực: Đánh giá yêu cầu về thiết bị ghi âm và thời gian hoàn thành của người tham gia.</w:t>
      </w:r>
    </w:p>
    <w:p>
      <w:pPr>
        <w:pStyle w:val="Normal"/>
        <w:numPr>
          <w:ilvl w:val="1"/>
          <w:numId w:val="1"/>
        </w:numPr>
        <w:tabs>
          <w:tab w:val="clear" w:pos="720"/>
          <w:tab w:val="left" w:pos="851" w:leader="none"/>
        </w:tabs>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Tính khả thi về quản lý: Đánh giá năng lực của nhân viên nghiên cứu và các yêu cầu phối hợp giữa người thu mẫu, nhân viên y tế tại bệnh viện và người tham gia.</w:t>
      </w:r>
    </w:p>
    <w:p>
      <w:pPr>
        <w:pStyle w:val="Normal"/>
        <w:tabs>
          <w:tab w:val="clear" w:pos="720"/>
          <w:tab w:val="left" w:pos="851" w:leader="none"/>
        </w:tabs>
        <w:spacing w:lineRule="auto" w:line="360"/>
        <w:ind w:start="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numPr>
          <w:ilvl w:val="0"/>
          <w:numId w:val="4"/>
        </w:numPr>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Mục tiêu 2:</w:t>
      </w:r>
      <w:r>
        <w:rPr>
          <w:rFonts w:eastAsia="Times New Roman" w:cs="Times New Roman" w:ascii="Times New Roman" w:hAnsi="Times New Roman"/>
          <w:sz w:val="26"/>
          <w:szCs w:val="26"/>
        </w:rPr>
        <w:t xml:space="preserve"> Thu mẫu chính:</w:t>
      </w:r>
    </w:p>
    <w:p>
      <w:pPr>
        <w:pStyle w:val="Normal"/>
        <w:numPr>
          <w:ilvl w:val="0"/>
          <w:numId w:val="1"/>
        </w:numPr>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Công việc 2.1:</w:t>
      </w:r>
      <w:r>
        <w:rPr>
          <w:rFonts w:eastAsia="Times New Roman" w:cs="Times New Roman" w:ascii="Times New Roman" w:hAnsi="Times New Roman"/>
          <w:sz w:val="26"/>
          <w:szCs w:val="26"/>
        </w:rPr>
        <w:t xml:space="preserve"> Tuyển chọn người tham gia và đánh giá lâm sàng với 150 người tham gia trên 50 tuổi được chia thành 3 nhóm mắc Alzheimer, nhóm mắc suy giảm nhận thức nhẹ, và nhóm chứng. </w:t>
      </w:r>
    </w:p>
    <w:p>
      <w:pPr>
        <w:pStyle w:val="Normal"/>
        <w:numPr>
          <w:ilvl w:val="0"/>
          <w:numId w:val="1"/>
        </w:numPr>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Công việc 2.2:</w:t>
      </w:r>
      <w:r>
        <w:rPr>
          <w:rFonts w:eastAsia="Times New Roman" w:cs="Times New Roman" w:ascii="Times New Roman" w:hAnsi="Times New Roman"/>
          <w:sz w:val="26"/>
          <w:szCs w:val="26"/>
        </w:rPr>
        <w:t xml:space="preserve"> Thu dữ liệu giọng nói theo protocol đã được tối ưu.</w:t>
      </w:r>
    </w:p>
    <w:p>
      <w:pPr>
        <w:pStyle w:val="Normal"/>
        <w:numPr>
          <w:ilvl w:val="0"/>
          <w:numId w:val="1"/>
        </w:numPr>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Công việc 2.3:</w:t>
      </w:r>
      <w:r>
        <w:rPr>
          <w:rFonts w:eastAsia="Times New Roman" w:cs="Times New Roman" w:ascii="Times New Roman" w:hAnsi="Times New Roman"/>
          <w:sz w:val="26"/>
          <w:szCs w:val="26"/>
        </w:rPr>
        <w:t xml:space="preserve"> Trích xuất và phân tích đặc trưng.</w:t>
      </w:r>
    </w:p>
    <w:p>
      <w:pPr>
        <w:pStyle w:val="Normal"/>
        <w:numPr>
          <w:ilvl w:val="0"/>
          <w:numId w:val="1"/>
        </w:numPr>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Công việc 2.4:</w:t>
      </w:r>
      <w:r>
        <w:rPr>
          <w:rFonts w:eastAsia="Times New Roman" w:cs="Times New Roman" w:ascii="Times New Roman" w:hAnsi="Times New Roman"/>
          <w:sz w:val="26"/>
          <w:szCs w:val="26"/>
        </w:rPr>
        <w:t xml:space="preserve"> Phân tích và phổ biến kết quả nghiên cứu</w:t>
      </w:r>
    </w:p>
    <w:p>
      <w:pPr>
        <w:pStyle w:val="Normal"/>
        <w:spacing w:lineRule="auto" w:line="360"/>
        <w:ind w:hanging="425" w:start="992"/>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Điều 2:</w:t>
      </w:r>
      <w:r>
        <w:rPr>
          <w:rFonts w:eastAsia="Times New Roman" w:cs="Times New Roman" w:ascii="Times New Roman" w:hAnsi="Times New Roman"/>
          <w:sz w:val="26"/>
          <w:szCs w:val="26"/>
        </w:rPr>
        <w:t xml:space="preserve"> </w:t>
      </w:r>
      <w:r>
        <w:rPr>
          <w:rFonts w:eastAsia="Times New Roman" w:cs="Times New Roman" w:ascii="Times New Roman" w:hAnsi="Times New Roman"/>
          <w:b/>
          <w:bCs/>
          <w:sz w:val="26"/>
          <w:szCs w:val="26"/>
        </w:rPr>
        <w:t>Sản phẩm</w:t>
      </w:r>
    </w:p>
    <w:p>
      <w:pPr>
        <w:pStyle w:val="Normal"/>
        <w:spacing w:lineRule="auto" w:line="360"/>
        <w:ind w:firstLine="567"/>
        <w:jc w:val="both"/>
        <w:rPr>
          <w:rFonts w:ascii="Times New Roman" w:hAnsi="Times New Roman" w:eastAsia="Times New Roman" w:cs="Times New Roman"/>
          <w:b/>
          <w:bCs/>
          <w:sz w:val="26"/>
          <w:szCs w:val="26"/>
          <w:u w:val="single"/>
        </w:rPr>
      </w:pPr>
      <w:r>
        <w:rPr>
          <w:rFonts w:eastAsia="Times New Roman" w:cs="Times New Roman" w:ascii="Times New Roman" w:hAnsi="Times New Roman"/>
          <w:sz w:val="26"/>
          <w:szCs w:val="26"/>
        </w:rPr>
        <w:t>Sản phẩm Bên B giao nộp cho Bên A tương ứng theo các nội dung sản phẩm bàn giao trong Phụ lục 01 của Hợp đồng này. Các sản phẩm này do cơ quan điều phối giao cho chủ nhiệm đề tài thực hiện và nộp lại cho cơ quan điều phối để tổng hợp.</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Điều 3: Thời gian thực hiện</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Thời gian thực hiện Hợp đồng là 15 tháng, từ 15/3/2026 đến 15/6/2027. </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Trong đó,</w:t>
      </w:r>
    </w:p>
    <w:p>
      <w:pPr>
        <w:pStyle w:val="Normal"/>
        <w:numPr>
          <w:ilvl w:val="0"/>
          <w:numId w:val="2"/>
        </w:numPr>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Thời gian thực hiện nghiên cứu là 12 tháng, từ 15/3/2026 đến 15/03/2027</w:t>
      </w:r>
    </w:p>
    <w:p>
      <w:pPr>
        <w:pStyle w:val="Normal"/>
        <w:numPr>
          <w:ilvl w:val="0"/>
          <w:numId w:val="2"/>
        </w:numPr>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Thời gian hoàn thiện hồ sơ, đánh giá nghiệm thu cho đối tác nước ngoài: 03 tháng, đến 15/6/2027. </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Nguồn kinh phí:</w:t>
      </w:r>
      <w:r>
        <w:rPr>
          <w:rFonts w:eastAsia="Times New Roman" w:cs="Times New Roman" w:ascii="Times New Roman" w:hAnsi="Times New Roman"/>
          <w:sz w:val="26"/>
          <w:szCs w:val="26"/>
        </w:rPr>
        <w:t xml:space="preserve"> Chương trình 2025 R&amp;D Subsidies (Overseas) của tổ chức tài trợ Terumo Life Science Foundation.</w:t>
      </w:r>
    </w:p>
    <w:p>
      <w:pPr>
        <w:pStyle w:val="Normal"/>
        <w:spacing w:lineRule="auto" w:line="36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Điều 4:</w:t>
      </w:r>
      <w:r>
        <w:rPr>
          <w:rFonts w:eastAsia="Times New Roman" w:cs="Times New Roman" w:ascii="Times New Roman" w:hAnsi="Times New Roman"/>
          <w:sz w:val="26"/>
          <w:szCs w:val="26"/>
        </w:rPr>
        <w:t xml:space="preserve"> </w:t>
      </w:r>
      <w:r>
        <w:rPr>
          <w:rFonts w:eastAsia="Times New Roman" w:cs="Times New Roman" w:ascii="Times New Roman" w:hAnsi="Times New Roman"/>
          <w:b/>
          <w:bCs/>
          <w:sz w:val="26"/>
          <w:szCs w:val="26"/>
        </w:rPr>
        <w:t>Giá trị hợp đồng và phương thức thanh toán</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b/>
          <w:bCs/>
          <w:sz w:val="26"/>
          <w:szCs w:val="26"/>
        </w:rPr>
        <w:t>4.1. Tổng giá trị hợp đồng:</w:t>
      </w:r>
      <w:r>
        <w:rPr>
          <w:rFonts w:eastAsia="Times New Roman" w:cs="Times New Roman" w:ascii="Times New Roman" w:hAnsi="Times New Roman"/>
          <w:sz w:val="26"/>
          <w:szCs w:val="26"/>
        </w:rPr>
        <w:t xml:space="preserve"> </w:t>
      </w:r>
    </w:p>
    <w:p>
      <w:pPr>
        <w:pStyle w:val="Normal"/>
        <w:spacing w:lineRule="auto" w:line="36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 xml:space="preserve">Tổng kinh phí thực hiện: </w:t>
      </w:r>
      <w:r>
        <w:rPr>
          <w:rFonts w:eastAsia="Times New Roman" w:cs="Times New Roman" w:ascii="Times New Roman" w:hAnsi="Times New Roman"/>
          <w:b/>
          <w:bCs/>
          <w:sz w:val="26"/>
          <w:szCs w:val="26"/>
        </w:rPr>
        <w:t xml:space="preserve">2.000.000 JPY. </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Bằng chữ: Hai triệu Yên Nhật (JPY).</w:t>
      </w:r>
    </w:p>
    <w:p>
      <w:pPr>
        <w:pStyle w:val="Normal"/>
        <w:tabs>
          <w:tab w:val="clear" w:pos="720"/>
          <w:tab w:val="left" w:pos="567" w:leader="none"/>
          <w:tab w:val="left" w:pos="2460" w:leader="none"/>
        </w:tabs>
        <w:spacing w:lineRule="auto" w:line="360"/>
        <w:ind w:firstLine="426"/>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ab/>
        <w:t xml:space="preserve">Trong đó: </w:t>
      </w:r>
    </w:p>
    <w:p>
      <w:pPr>
        <w:pStyle w:val="Normal"/>
        <w:numPr>
          <w:ilvl w:val="0"/>
          <w:numId w:val="3"/>
        </w:numPr>
        <w:tabs>
          <w:tab w:val="clear" w:pos="720"/>
          <w:tab w:val="left" w:pos="709" w:leader="none"/>
          <w:tab w:val="left" w:pos="851" w:leader="none"/>
        </w:tabs>
        <w:spacing w:lineRule="auto" w:line="360"/>
        <w:ind w:firstLine="567" w:start="0"/>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 xml:space="preserve">Kinh phí khoán chi: </w:t>
      </w:r>
      <w:r>
        <w:rPr>
          <w:rFonts w:eastAsia="Times New Roman" w:cs="Times New Roman" w:ascii="Times New Roman" w:hAnsi="Times New Roman"/>
          <w:b/>
          <w:bCs/>
          <w:sz w:val="26"/>
          <w:szCs w:val="26"/>
        </w:rPr>
        <w:t>2.000.000 JPY.</w:t>
      </w:r>
    </w:p>
    <w:p>
      <w:pPr>
        <w:pStyle w:val="Normal"/>
        <w:numPr>
          <w:ilvl w:val="0"/>
          <w:numId w:val="3"/>
        </w:numPr>
        <w:tabs>
          <w:tab w:val="clear" w:pos="720"/>
          <w:tab w:val="left" w:pos="284" w:leader="none"/>
          <w:tab w:val="left" w:pos="709" w:leader="none"/>
          <w:tab w:val="left" w:pos="851" w:leader="none"/>
        </w:tabs>
        <w:spacing w:lineRule="auto" w:line="360"/>
        <w:ind w:firstLine="567" w:start="0"/>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 xml:space="preserve">Kinh phí không khoán chi: </w:t>
      </w:r>
      <w:r>
        <w:rPr>
          <w:rFonts w:eastAsia="Times New Roman" w:cs="Times New Roman" w:ascii="Times New Roman" w:hAnsi="Times New Roman"/>
          <w:b/>
          <w:bCs/>
          <w:sz w:val="26"/>
          <w:szCs w:val="26"/>
        </w:rPr>
        <w:t>0 JPY.</w:t>
      </w:r>
    </w:p>
    <w:p>
      <w:pPr>
        <w:pStyle w:val="Normal"/>
        <w:spacing w:lineRule="auto" w:line="36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 xml:space="preserve">4.2. Phương thức thanh toán: </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Bên A sẽ thanh toán theo bảng phân bổ chi tiết kinh phí của Bên B thực hiện đề tài bằng tiền Việt Nam đồng (VNĐ),</w:t>
      </w:r>
      <w:r>
        <w:rPr>
          <w:rFonts w:eastAsia="Times New Roman" w:cs="Times New Roman" w:ascii="Times New Roman" w:hAnsi="Times New Roman"/>
          <w:sz w:val="26"/>
          <w:szCs w:val="26"/>
          <w:highlight w:val="white"/>
        </w:rPr>
        <w:t xml:space="preserve"> được quy đổi từ đồng đô la Mỹ (USD) d</w:t>
      </w:r>
      <w:r>
        <w:rPr>
          <w:rFonts w:eastAsia="Times New Roman" w:cs="Times New Roman" w:ascii="Times New Roman" w:hAnsi="Times New Roman"/>
          <w:sz w:val="26"/>
          <w:szCs w:val="26"/>
        </w:rPr>
        <w:t>o tổ chức tài trợ hoặc đối tác nước ngoài chuyển vào tài khoản của Bên A. Việc quy đổi được thực hiện theo tỷ giá mua chuyển khoản của ngân hàng đang thực hiện giao dịch với Bên A là ngân hàng TMCP Đầu tư và Phát triển Việt Nam (BIDV) công bố tại thời điểm Bên A thực nhận khoản tiền. Giá trị thanh toán sẽ được xác định theo đúng tỷ giá tại thời điểm Bên A nhận được khoản tiền từ tổ chức tài trợ hoặc đối tác nước ngoài.</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Kinh phí thanh toán cho Bên B được căn cứ theo bảng phân bổ chi tiết kinh phí (Phụ lục 02) đính kèm hợp đồng.</w:t>
      </w:r>
    </w:p>
    <w:p>
      <w:pPr>
        <w:pStyle w:val="Normal"/>
        <w:spacing w:lineRule="auto" w:line="36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Điều 5: Trách nhiệm của mỗi bên</w:t>
      </w:r>
    </w:p>
    <w:p>
      <w:pPr>
        <w:pStyle w:val="Normal"/>
        <w:spacing w:lineRule="auto" w:line="36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Bên A:</w:t>
      </w:r>
    </w:p>
    <w:p>
      <w:pPr>
        <w:pStyle w:val="ListParagraph"/>
        <w:numPr>
          <w:ilvl w:val="3"/>
          <w:numId w:val="6"/>
        </w:numPr>
        <w:tabs>
          <w:tab w:val="clear" w:pos="720"/>
          <w:tab w:val="left" w:pos="851" w:leader="none"/>
        </w:tabs>
        <w:spacing w:lineRule="auto" w:line="360"/>
        <w:ind w:firstLine="567" w:start="0"/>
        <w:jc w:val="both"/>
        <w:rPr>
          <w:sz w:val="26"/>
          <w:szCs w:val="26"/>
        </w:rPr>
      </w:pPr>
      <w:r>
        <w:rPr>
          <w:sz w:val="26"/>
          <w:szCs w:val="26"/>
        </w:rPr>
        <w:t>Bên A có trách nhiệm chuyển kinh phí được tài trợ cho Bên B theo đúng định mức, nội dung và tiến độ đã được phê duyệt, trên cơ sở hồ sơ, đề xuất hợp lệ do Bên B cung cấp.</w:t>
      </w:r>
    </w:p>
    <w:p>
      <w:pPr>
        <w:pStyle w:val="ListParagraph"/>
        <w:numPr>
          <w:ilvl w:val="3"/>
          <w:numId w:val="6"/>
        </w:numPr>
        <w:tabs>
          <w:tab w:val="clear" w:pos="720"/>
          <w:tab w:val="left" w:pos="851" w:leader="none"/>
        </w:tabs>
        <w:spacing w:lineRule="auto" w:line="360"/>
        <w:ind w:firstLine="567" w:start="0"/>
        <w:jc w:val="both"/>
        <w:rPr>
          <w:sz w:val="26"/>
          <w:szCs w:val="26"/>
        </w:rPr>
      </w:pPr>
      <w:r>
        <w:rPr>
          <w:color w:val="000000"/>
          <w:sz w:val="26"/>
          <w:szCs w:val="26"/>
        </w:rPr>
        <w:t>Bên A</w:t>
      </w:r>
      <w:r>
        <w:rPr>
          <w:color w:val="000000"/>
          <w:sz w:val="26"/>
          <w:szCs w:val="26"/>
          <w:lang w:val="en-US"/>
        </w:rPr>
        <w:t xml:space="preserve"> thực hiện trích quản lý phí số tiền: </w:t>
      </w:r>
      <w:r>
        <w:rPr>
          <w:b/>
          <w:bCs/>
          <w:color w:val="000000"/>
          <w:sz w:val="26"/>
          <w:szCs w:val="26"/>
          <w:lang w:val="en-US"/>
        </w:rPr>
        <w:t>40.205</w:t>
      </w:r>
      <w:r>
        <w:rPr>
          <w:b/>
          <w:bCs/>
          <w:sz w:val="26"/>
          <w:szCs w:val="26"/>
        </w:rPr>
        <w:t xml:space="preserve"> JPY</w:t>
      </w:r>
      <w:r>
        <w:rPr>
          <w:color w:val="000000"/>
          <w:sz w:val="26"/>
          <w:szCs w:val="26"/>
          <w:lang w:val="en-US"/>
        </w:rPr>
        <w:t xml:space="preserve"> (Bằng chữ: Bốn mươi ngàn hai trăm lẻ năm Yên Nhật).</w:t>
      </w:r>
    </w:p>
    <w:p>
      <w:pPr>
        <w:pStyle w:val="Normal"/>
        <w:spacing w:lineRule="auto" w:line="36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Bên B:</w:t>
      </w:r>
    </w:p>
    <w:p>
      <w:pPr>
        <w:pStyle w:val="Normal"/>
        <w:widowControl w:val="false"/>
        <w:tabs>
          <w:tab w:val="clear" w:pos="720"/>
          <w:tab w:val="center" w:pos="4320" w:leader="none"/>
          <w:tab w:val="right" w:pos="8640" w:leader="none"/>
        </w:tabs>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1. Bên B có trách nhiệm xây dựng kế hoạch và định mức chi tiêu cho toàn bộ hoạt động của đề tài trên cơ sở đảm bảo:</w:t>
      </w:r>
    </w:p>
    <w:p>
      <w:pPr>
        <w:pStyle w:val="Normal"/>
        <w:widowControl w:val="false"/>
        <w:tabs>
          <w:tab w:val="clear" w:pos="720"/>
          <w:tab w:val="center" w:pos="4320" w:leader="none"/>
          <w:tab w:val="right" w:pos="8640" w:leader="none"/>
        </w:tabs>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Phù hợp với nội dung và tiến độ nghiên cứu;</w:t>
      </w:r>
    </w:p>
    <w:p>
      <w:pPr>
        <w:pStyle w:val="Normal"/>
        <w:widowControl w:val="false"/>
        <w:tabs>
          <w:tab w:val="clear" w:pos="720"/>
          <w:tab w:val="center" w:pos="4320" w:leader="none"/>
          <w:tab w:val="right" w:pos="8640" w:leader="none"/>
        </w:tabs>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Không vượt quá tổng mức kinh phí được tài trợ theo dự toán đã được phê duyệt.</w:t>
      </w:r>
    </w:p>
    <w:p>
      <w:pPr>
        <w:pStyle w:val="Normal"/>
        <w:widowControl w:val="false"/>
        <w:tabs>
          <w:tab w:val="clear" w:pos="720"/>
          <w:tab w:val="center" w:pos="4320" w:leader="none"/>
          <w:tab w:val="right" w:pos="8640" w:leader="none"/>
        </w:tabs>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2. Bên B hoàn toàn chịu trách nhiệm trước pháp luật và trước Bên A về:</w:t>
      </w:r>
    </w:p>
    <w:p>
      <w:pPr>
        <w:pStyle w:val="Normal"/>
        <w:widowControl w:val="false"/>
        <w:tabs>
          <w:tab w:val="clear" w:pos="720"/>
          <w:tab w:val="center" w:pos="4320" w:leader="none"/>
          <w:tab w:val="right" w:pos="8640" w:leader="none"/>
        </w:tabs>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Tính hợp pháp, hợp lệ, hợp lý của toàn bộ các khoản chi tiêu trong quá trình thực hiện đề tài;</w:t>
      </w:r>
    </w:p>
    <w:p>
      <w:pPr>
        <w:pStyle w:val="Normal"/>
        <w:widowControl w:val="false"/>
        <w:tabs>
          <w:tab w:val="clear" w:pos="720"/>
          <w:tab w:val="center" w:pos="4320" w:leader="none"/>
          <w:tab w:val="right" w:pos="8640" w:leader="none"/>
        </w:tabs>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Việc đảm bảo chứng từ theo quy định của pháp luật Việt Nam.</w:t>
      </w:r>
    </w:p>
    <w:p>
      <w:pPr>
        <w:pStyle w:val="Normal"/>
        <w:widowControl w:val="false"/>
        <w:tabs>
          <w:tab w:val="clear" w:pos="720"/>
          <w:tab w:val="center" w:pos="4320" w:leader="none"/>
          <w:tab w:val="right" w:pos="8640" w:leader="none"/>
        </w:tabs>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3. Trường hợp phát sinh rủi ro về tài chính (không thanh toán được, chi vượt định mức, hoặc bị kết luận chi sai trong thanh tra, kiểm toán...), Bên B tự chịu trách nhiệm xử lý và bồi hoàn theo quy định.</w:t>
      </w:r>
    </w:p>
    <w:p>
      <w:pPr>
        <w:pStyle w:val="Normal"/>
        <w:widowControl w:val="false"/>
        <w:tabs>
          <w:tab w:val="clear" w:pos="720"/>
          <w:tab w:val="center" w:pos="4320" w:leader="none"/>
          <w:tab w:val="right" w:pos="8640" w:leader="none"/>
        </w:tabs>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4. Định mức chi tiêu do Bên B xây dựng phải tuân thủ theo hướng dẫn của đơn vị cấp kinh phí và các quy định liên quan.</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5. Thực hiện mua sắm trang thiết bị theo đúng dự toán đã đề xuất với nhà tài trợ và Phụ lục 02 của hợp đồng này.</w:t>
      </w:r>
    </w:p>
    <w:p>
      <w:pPr>
        <w:pStyle w:val="Normal"/>
        <w:widowControl w:val="false"/>
        <w:tabs>
          <w:tab w:val="clear" w:pos="720"/>
          <w:tab w:val="center" w:pos="4320" w:leader="none"/>
          <w:tab w:val="right" w:pos="8640" w:leader="none"/>
        </w:tabs>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6. Về quy định bắt buộc đối với chủ nhiệm đề tài: Các công bố kết quả nghiên cứu dưới hình thức ấn phẩm khoa học, đăng ký sở hữu trí tuệ, trên các phương tiện truyền thông đại chúng: chủ nhiệm đề tài phải ghi rõ cơ quan công tác và cơ quan chủ trì nhiệm vụ là Trường Đại học Quốc tế-ĐHQG-HCM (International University –VNU-HCM).</w:t>
      </w:r>
    </w:p>
    <w:p>
      <w:pPr>
        <w:pStyle w:val="Normal"/>
        <w:widowControl w:val="false"/>
        <w:tabs>
          <w:tab w:val="clear" w:pos="720"/>
          <w:tab w:val="center" w:pos="4320" w:leader="none"/>
          <w:tab w:val="right" w:pos="8640" w:leader="none"/>
        </w:tabs>
        <w:spacing w:lineRule="auto" w:line="36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 xml:space="preserve">Điều 6: Quyền sở hữu trí tuệ (SHTT) </w:t>
      </w:r>
    </w:p>
    <w:p>
      <w:pPr>
        <w:pStyle w:val="Normal"/>
        <w:numPr>
          <w:ilvl w:val="0"/>
          <w:numId w:val="5"/>
        </w:numPr>
        <w:tabs>
          <w:tab w:val="clear" w:pos="720"/>
          <w:tab w:val="left" w:pos="851" w:leader="none"/>
        </w:tabs>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Quyền về sở hữu trí tuệ đối với các kết quả nghiên cứu phát sinh từ đề tài tuân theo Quy chế Quản trị Tài sản Trí tuệ của Trường Đại học Quốc tế, ĐHQG – HCM ban hành theo Quyết định số 21/QĐ-ĐHQT-TCHC ngày 03/02/2012 của Hiệu trưởng Trường Đại học Quốc tế, ĐHQG-HCM.</w:t>
      </w:r>
    </w:p>
    <w:p>
      <w:pPr>
        <w:pStyle w:val="Normal"/>
        <w:numPr>
          <w:ilvl w:val="0"/>
          <w:numId w:val="5"/>
        </w:numPr>
        <w:tabs>
          <w:tab w:val="clear" w:pos="720"/>
          <w:tab w:val="left" w:pos="851" w:leader="none"/>
        </w:tabs>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Phòng QLKH là đơn vị đại diện nộp đơn đăng ký quyền SHTT đối với các kết quả nghiên cứu phát sinh từ đề tài và thuộc quyền sở hữu của Bên A.</w:t>
      </w:r>
    </w:p>
    <w:p>
      <w:pPr>
        <w:pStyle w:val="Normal"/>
        <w:numPr>
          <w:ilvl w:val="0"/>
          <w:numId w:val="5"/>
        </w:numPr>
        <w:tabs>
          <w:tab w:val="clear" w:pos="720"/>
          <w:tab w:val="left" w:pos="851" w:leader="none"/>
        </w:tabs>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Tác giả (Bên B hoặc nhóm nghiên cứu) trực tiếp thực hiện đề tài được hưởng quyền tác giả theo quy định của pháp luật.</w:t>
      </w:r>
    </w:p>
    <w:p>
      <w:pPr>
        <w:pStyle w:val="Normal"/>
        <w:numPr>
          <w:ilvl w:val="0"/>
          <w:numId w:val="5"/>
        </w:numPr>
        <w:tabs>
          <w:tab w:val="clear" w:pos="720"/>
          <w:tab w:val="left" w:pos="851" w:leader="none"/>
        </w:tabs>
        <w:spacing w:lineRule="auto" w:line="360"/>
        <w:ind w:firstLine="567"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Bên B có trách nhiệm bảo mật các kết quả nghiên cứu theo qui định hiện hành. Nếu tác giả hoặc Bên B muốn phổ biến, sử dụng kết quả nghiên cứu thì phải có văn bản chấp thuận của Bên A.</w:t>
      </w:r>
    </w:p>
    <w:p>
      <w:pPr>
        <w:pStyle w:val="Normal"/>
        <w:spacing w:lineRule="auto" w:line="360"/>
        <w:ind w:firstLine="567"/>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Điều 7: Điều khoản chung</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Hợp đồng có hiệu lực từ ngày ký kết và chấm dứt khi quyền lợi và nghĩa vụ của mỗi bên đã được thực hiện xong. Khi kết thúc hợp đồng, hai bên sẽ làm biên bản thanh lý hợp đồng.</w:t>
      </w:r>
    </w:p>
    <w:p>
      <w:pPr>
        <w:pStyle w:val="Normal"/>
        <w:spacing w:lineRule="auto" w:line="360"/>
        <w:ind w:firstLine="567"/>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Hợp đồng được lập thành 04 bản, Bên A giữ 03 bản, Bên B giữ 01 bản có giá trị pháp lý như nhau. </w:t>
      </w:r>
    </w:p>
    <w:tbl>
      <w:tblPr>
        <w:tblStyle w:val="a0"/>
        <w:tblW w:w="9666" w:type="dxa"/>
        <w:jc w:val="start"/>
        <w:tblInd w:w="-318" w:type="dxa"/>
        <w:tblLayout w:type="fixed"/>
        <w:tblCellMar>
          <w:top w:w="0" w:type="dxa"/>
          <w:start w:w="108" w:type="dxa"/>
          <w:bottom w:w="0" w:type="dxa"/>
          <w:end w:w="108" w:type="dxa"/>
        </w:tblCellMar>
        <w:tblLook w:val="0000" w:noHBand="0" w:noVBand="0" w:firstColumn="0" w:lastRow="0" w:lastColumn="0" w:firstRow="0"/>
      </w:tblPr>
      <w:tblGrid>
        <w:gridCol w:w="4821"/>
        <w:gridCol w:w="4845"/>
      </w:tblGrid>
      <w:tr>
        <w:trPr>
          <w:trHeight w:val="1795" w:hRule="atLeast"/>
        </w:trPr>
        <w:tc>
          <w:tcPr>
            <w:tcW w:w="4821" w:type="dxa"/>
            <w:tcBorders/>
          </w:tcPr>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ĐẠI DIỆN BÊN B</w:t>
            </w:r>
          </w:p>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tc>
        <w:tc>
          <w:tcPr>
            <w:tcW w:w="4845" w:type="dxa"/>
            <w:tcBorders/>
          </w:tcPr>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ĐẠI DIỆN BÊN A</w:t>
            </w:r>
          </w:p>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KT. HIỆU TRƯỞNG</w:t>
            </w:r>
          </w:p>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PHÓ HIỆU TRƯỞNG</w:t>
            </w:r>
          </w:p>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spacing w:lineRule="auto" w:line="288"/>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288"/>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288"/>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r>
          </w:p>
        </w:tc>
      </w:tr>
      <w:tr>
        <w:trPr>
          <w:trHeight w:val="377" w:hRule="atLeast"/>
        </w:trPr>
        <w:tc>
          <w:tcPr>
            <w:tcW w:w="4821" w:type="dxa"/>
            <w:tcBorders/>
          </w:tcPr>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PGS.TS. Hà Thị Thanh Hương</w:t>
            </w:r>
          </w:p>
        </w:tc>
        <w:tc>
          <w:tcPr>
            <w:tcW w:w="4845" w:type="dxa"/>
            <w:tcBorders/>
          </w:tcPr>
          <w:p>
            <w:pPr>
              <w:pStyle w:val="Normal"/>
              <w:spacing w:lineRule="auto" w:line="288"/>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PGS. TS. Đinh Đức Anh Vũ</w:t>
            </w:r>
          </w:p>
        </w:tc>
      </w:tr>
    </w:tbl>
    <w:p>
      <w:pPr>
        <w:sectPr>
          <w:type w:val="nextPage"/>
          <w:pgSz w:w="11906" w:h="16838"/>
          <w:pgMar w:left="1440" w:right="1440" w:gutter="0" w:header="0" w:top="1440" w:footer="0" w:bottom="1440"/>
          <w:pgNumType w:start="1" w:fmt="decimal"/>
          <w:formProt w:val="false"/>
          <w:textDirection w:val="lrTb"/>
          <w:docGrid w:type="default" w:linePitch="100" w:charSpace="0"/>
        </w:sectPr>
      </w:pPr>
    </w:p>
    <w:p>
      <w:pPr>
        <w:pStyle w:val="Normal"/>
        <w:keepNext w:val="true"/>
        <w:widowControl w:val="false"/>
        <w:tabs>
          <w:tab w:val="clear" w:pos="720"/>
          <w:tab w:val="left" w:pos="364" w:leader="none"/>
        </w:tabs>
        <w:spacing w:lineRule="auto" w:line="240"/>
        <w:ind w:end="-57"/>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CỘNG HOÀ XÃ HỘI CHỦ NGHĨA VIỆT NAM</w:t>
      </w:r>
    </w:p>
    <w:p>
      <w:pPr>
        <w:pStyle w:val="Normal"/>
        <w:keepNext w:val="true"/>
        <w:widowControl w:val="false"/>
        <w:tabs>
          <w:tab w:val="clear" w:pos="720"/>
          <w:tab w:val="left" w:pos="364" w:leader="none"/>
        </w:tabs>
        <w:spacing w:lineRule="auto" w:line="240"/>
        <w:ind w:end="-57"/>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Độc lập - Tự do - Hạnh phúc</w:t>
      </w:r>
    </w:p>
    <w:p>
      <w:pPr>
        <w:pStyle w:val="Normal"/>
        <w:spacing w:lineRule="auto" w:line="240"/>
        <w:jc w:val="end"/>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drawing>
          <wp:anchor distT="0" distB="0" distL="0" distR="0" simplePos="0" relativeHeight="4" behindDoc="0" locked="0" layoutInCell="1" allowOverlap="1">
            <wp:simplePos x="0" y="0"/>
            <wp:positionH relativeFrom="column">
              <wp:posOffset>2001520</wp:posOffset>
            </wp:positionH>
            <wp:positionV relativeFrom="paragraph">
              <wp:posOffset>39370</wp:posOffset>
            </wp:positionV>
            <wp:extent cx="1979930" cy="12700"/>
            <wp:effectExtent l="0" t="0" r="0" b="0"/>
            <wp:wrapNone/>
            <wp:docPr id="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png"/>
                    <pic:cNvPicPr>
                      <a:picLocks noChangeAspect="1" noChangeArrowheads="1"/>
                    </pic:cNvPicPr>
                  </pic:nvPicPr>
                  <pic:blipFill>
                    <a:blip r:embed="rId5"/>
                    <a:stretch>
                      <a:fillRect/>
                    </a:stretch>
                  </pic:blipFill>
                  <pic:spPr bwMode="auto">
                    <a:xfrm>
                      <a:off x="0" y="0"/>
                      <a:ext cx="1979930" cy="12700"/>
                    </a:xfrm>
                    <a:prstGeom prst="rect">
                      <a:avLst/>
                    </a:prstGeom>
                    <a:noFill/>
                  </pic:spPr>
                </pic:pic>
              </a:graphicData>
            </a:graphic>
          </wp:anchor>
        </w:drawing>
        <mc:AlternateContent>
          <mc:Choice Requires="wps">
            <w:drawing>
              <wp:anchor distT="5080" distB="5080" distL="5080" distR="5080" simplePos="0" relativeHeight="8" behindDoc="0" locked="0" layoutInCell="1" allowOverlap="1" wp14:anchorId="544A1CDC">
                <wp:simplePos x="0" y="0"/>
                <wp:positionH relativeFrom="column">
                  <wp:posOffset>2065020</wp:posOffset>
                </wp:positionH>
                <wp:positionV relativeFrom="paragraph">
                  <wp:posOffset>49530</wp:posOffset>
                </wp:positionV>
                <wp:extent cx="1997075" cy="635"/>
                <wp:effectExtent l="5080" t="5080" r="5080" b="5080"/>
                <wp:wrapNone/>
                <wp:docPr id="6" name="Straight Connector 4"/>
                <a:graphic xmlns:a="http://schemas.openxmlformats.org/drawingml/2006/main">
                  <a:graphicData uri="http://schemas.microsoft.com/office/word/2010/wordprocessingShape">
                    <wps:wsp>
                      <wps:cNvSpPr/>
                      <wps:spPr>
                        <a:xfrm>
                          <a:off x="0" y="0"/>
                          <a:ext cx="199692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62.6pt,3.9pt" to="319.8pt,3.9pt" stroked="t" o:allowincell="f" style="position:absolute" wp14:anchorId="544A1CDC">
                <v:stroke color="black" weight="9360" joinstyle="round" endcap="flat"/>
                <v:fill o:detectmouseclick="t" on="false"/>
                <w10:wrap type="none"/>
              </v:line>
            </w:pict>
          </mc:Fallback>
        </mc:AlternateContent>
      </w:r>
    </w:p>
    <w:p>
      <w:pPr>
        <w:pStyle w:val="Normal"/>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PHỤ LỤC 1</w:t>
      </w:r>
    </w:p>
    <w:p>
      <w:pPr>
        <w:pStyle w:val="Normal"/>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 xml:space="preserve">NỘI DUNG SẢN PHẨM BÀN GIAO </w:t>
      </w:r>
    </w:p>
    <w:p>
      <w:pPr>
        <w:pStyle w:val="Normal"/>
        <w:spacing w:lineRule="auto" w:line="360"/>
        <w:jc w:val="center"/>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t xml:space="preserve">(Đính kèm theo Hợp đồng giao nhiệm vụ Khoa học và Công nghệ </w:t>
      </w:r>
    </w:p>
    <w:p>
      <w:pPr>
        <w:pStyle w:val="Normal"/>
        <w:spacing w:lineRule="auto" w:line="360"/>
        <w:jc w:val="center"/>
        <w:rPr>
          <w:rFonts w:ascii="Times New Roman" w:hAnsi="Times New Roman" w:eastAsia="Times New Roman" w:cs="Times New Roman"/>
          <w:i/>
          <w:iCs/>
          <w:sz w:val="26"/>
          <w:szCs w:val="26"/>
        </w:rPr>
      </w:pPr>
      <w:r>
        <mc:AlternateContent>
          <mc:Choice Requires="wps">
            <w:drawing>
              <wp:anchor distT="5080" distB="5080" distL="5080" distR="5080" simplePos="0" relativeHeight="9" behindDoc="0" locked="0" layoutInCell="1" allowOverlap="1" wp14:anchorId="4A79C801">
                <wp:simplePos x="0" y="0"/>
                <wp:positionH relativeFrom="column">
                  <wp:posOffset>2461260</wp:posOffset>
                </wp:positionH>
                <wp:positionV relativeFrom="paragraph">
                  <wp:posOffset>284480</wp:posOffset>
                </wp:positionV>
                <wp:extent cx="1240155" cy="0"/>
                <wp:effectExtent l="5080" t="5080" r="5080" b="5080"/>
                <wp:wrapNone/>
                <wp:docPr id="7" name="Straight Connector 4"/>
                <a:graphic xmlns:a="http://schemas.openxmlformats.org/drawingml/2006/main">
                  <a:graphicData uri="http://schemas.microsoft.com/office/word/2010/wordprocessingShape">
                    <wps:wsp>
                      <wps:cNvSpPr/>
                      <wps:spPr>
                        <a:xfrm>
                          <a:off x="0" y="0"/>
                          <a:ext cx="124020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93.8pt,22.4pt" to="291.4pt,22.4pt" stroked="t" o:allowincell="f" style="position:absolute" wp14:anchorId="4A79C801">
                <v:stroke color="black" weight="9360" joinstyle="round" endcap="flat"/>
                <v:fill o:detectmouseclick="t" on="false"/>
                <w10:wrap type="none"/>
              </v:line>
            </w:pict>
          </mc:Fallback>
        </mc:AlternateContent>
      </w:r>
      <w:r>
        <w:rPr>
          <w:rFonts w:eastAsia="Times New Roman" w:cs="Times New Roman" w:ascii="Times New Roman" w:hAnsi="Times New Roman"/>
          <w:i/>
          <w:iCs/>
          <w:sz w:val="26"/>
          <w:szCs w:val="26"/>
        </w:rPr>
        <w:t>số 02/2026/HĐNN/QLKH ngày 15 tháng 3 năm 2026)</w:t>
      </w:r>
    </w:p>
    <w:p>
      <w:pPr>
        <w:pStyle w:val="Normal"/>
        <w:spacing w:lineRule="auto" w:line="360"/>
        <w:jc w:val="center"/>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r>
    </w:p>
    <w:tbl>
      <w:tblPr>
        <w:tblStyle w:val="a1"/>
        <w:tblW w:w="9536" w:type="dxa"/>
        <w:jc w:val="start"/>
        <w:tblInd w:w="0" w:type="dxa"/>
        <w:tblLayout w:type="fixed"/>
        <w:tblCellMar>
          <w:top w:w="0" w:type="dxa"/>
          <w:start w:w="108" w:type="dxa"/>
          <w:bottom w:w="0" w:type="dxa"/>
          <w:end w:w="108" w:type="dxa"/>
        </w:tblCellMar>
        <w:tblLook w:val="0400" w:noHBand="0" w:noVBand="1" w:firstColumn="0" w:lastRow="0" w:lastColumn="0" w:firstRow="0"/>
      </w:tblPr>
      <w:tblGrid>
        <w:gridCol w:w="711"/>
        <w:gridCol w:w="4408"/>
        <w:gridCol w:w="1266"/>
        <w:gridCol w:w="3151"/>
      </w:tblGrid>
      <w:tr>
        <w:trPr/>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Stt</w:t>
            </w:r>
          </w:p>
        </w:tc>
        <w:tc>
          <w:tcPr>
            <w:tcW w:w="44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Danh mục sản phẩm</w:t>
            </w:r>
          </w:p>
        </w:tc>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Số lượng/</w:t>
            </w:r>
          </w:p>
          <w:p>
            <w:pPr>
              <w:pStyle w:val="Normal"/>
              <w:spacing w:lineRule="auto" w:line="240"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quy cách</w:t>
            </w:r>
          </w:p>
        </w:tc>
        <w:tc>
          <w:tcPr>
            <w:tcW w:w="31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Mô tả</w:t>
            </w:r>
          </w:p>
        </w:tc>
      </w:tr>
      <w:tr>
        <w:trPr/>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1</w:t>
            </w:r>
          </w:p>
        </w:tc>
        <w:tc>
          <w:tcPr>
            <w:tcW w:w="44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Bản báo cáo mô tả nội dung các tác vụ đã được tối ưu trong protocol sau nghiên cứu thí điểm</w:t>
            </w:r>
          </w:p>
        </w:tc>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01 bản in</w:t>
            </w:r>
          </w:p>
        </w:tc>
        <w:tc>
          <w:tcPr>
            <w:tcW w:w="31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Nộp báo cáo cho cơ quan chủ trì</w:t>
            </w:r>
          </w:p>
        </w:tc>
      </w:tr>
      <w:tr>
        <w:trPr/>
        <w:tc>
          <w:tcPr>
            <w:tcW w:w="7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2</w:t>
            </w:r>
          </w:p>
        </w:tc>
        <w:tc>
          <w:tcPr>
            <w:tcW w:w="44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Bản báo cáo khoa học tổng hợp tất cả kết quả của dự án</w:t>
            </w:r>
          </w:p>
        </w:tc>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02 bản</w:t>
            </w:r>
          </w:p>
        </w:tc>
        <w:tc>
          <w:tcPr>
            <w:tcW w:w="3151"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4"/>
              </w:numPr>
              <w:tabs>
                <w:tab w:val="clear" w:pos="720"/>
                <w:tab w:val="left" w:pos="300" w:leader="none"/>
              </w:tabs>
              <w:spacing w:lineRule="auto" w:line="240" w:before="120" w:after="120"/>
              <w:ind w:hanging="0"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01 bản in nộp cho cơ quan chủ trì. </w:t>
            </w:r>
          </w:p>
          <w:p>
            <w:pPr>
              <w:pStyle w:val="Normal"/>
              <w:numPr>
                <w:ilvl w:val="0"/>
                <w:numId w:val="4"/>
              </w:numPr>
              <w:tabs>
                <w:tab w:val="clear" w:pos="720"/>
                <w:tab w:val="left" w:pos="300" w:leader="none"/>
              </w:tabs>
              <w:spacing w:lineRule="auto" w:line="240" w:before="120" w:after="120"/>
              <w:ind w:hanging="0" w:start="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01 bản điện tử gửi báo cáo cho Terumo Life Science Foundation (có xác nhận chấp nhận sản phẩm)</w:t>
            </w:r>
          </w:p>
        </w:tc>
      </w:tr>
    </w:tbl>
    <w:p>
      <w:pPr>
        <w:pStyle w:val="Normal"/>
        <w:keepNext w:val="true"/>
        <w:widowControl w:val="false"/>
        <w:tabs>
          <w:tab w:val="clear" w:pos="720"/>
          <w:tab w:val="left" w:pos="364" w:leader="none"/>
        </w:tabs>
        <w:spacing w:lineRule="auto" w:line="240"/>
        <w:ind w:end="-57"/>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spacing w:lineRule="auto" w:line="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r>
        <w:br w:type="page"/>
      </w:r>
    </w:p>
    <w:p>
      <w:pPr>
        <w:pStyle w:val="Normal"/>
        <w:keepNext w:val="true"/>
        <w:widowControl w:val="false"/>
        <w:tabs>
          <w:tab w:val="clear" w:pos="720"/>
          <w:tab w:val="left" w:pos="364" w:leader="none"/>
        </w:tabs>
        <w:spacing w:lineRule="auto" w:line="240" w:before="0" w:after="0"/>
        <w:ind w:end="-57"/>
        <w:jc w:val="center"/>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CỘNG HOÀ XÃ HỘI CHỦ NGHĨA VIỆT NAM</w:t>
      </w:r>
    </w:p>
    <w:p>
      <w:pPr>
        <w:pStyle w:val="Normal"/>
        <w:keepNext w:val="true"/>
        <w:widowControl w:val="false"/>
        <w:tabs>
          <w:tab w:val="clear" w:pos="720"/>
          <w:tab w:val="left" w:pos="364" w:leader="none"/>
        </w:tabs>
        <w:spacing w:lineRule="auto" w:line="240"/>
        <w:ind w:end="-57"/>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Độc lập - Tự do - Hạnh phúc</w:t>
      </w:r>
    </w:p>
    <w:p>
      <w:pPr>
        <w:pStyle w:val="Normal"/>
        <w:spacing w:lineRule="auto" w:line="240"/>
        <w:jc w:val="end"/>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drawing>
          <wp:anchor distT="0" distB="0" distL="0" distR="0" simplePos="0" relativeHeight="5" behindDoc="0" locked="0" layoutInCell="1" allowOverlap="1">
            <wp:simplePos x="0" y="0"/>
            <wp:positionH relativeFrom="column">
              <wp:posOffset>2068195</wp:posOffset>
            </wp:positionH>
            <wp:positionV relativeFrom="paragraph">
              <wp:posOffset>39370</wp:posOffset>
            </wp:positionV>
            <wp:extent cx="1979930" cy="12700"/>
            <wp:effectExtent l="0" t="0" r="0" b="0"/>
            <wp:wrapNone/>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a:picLocks noChangeAspect="1" noChangeArrowheads="1"/>
                    </pic:cNvPicPr>
                  </pic:nvPicPr>
                  <pic:blipFill>
                    <a:blip r:embed="rId6"/>
                    <a:stretch>
                      <a:fillRect/>
                    </a:stretch>
                  </pic:blipFill>
                  <pic:spPr bwMode="auto">
                    <a:xfrm>
                      <a:off x="0" y="0"/>
                      <a:ext cx="1979930" cy="12700"/>
                    </a:xfrm>
                    <a:prstGeom prst="rect">
                      <a:avLst/>
                    </a:prstGeom>
                    <a:noFill/>
                  </pic:spPr>
                </pic:pic>
              </a:graphicData>
            </a:graphic>
          </wp:anchor>
        </w:drawing>
        <mc:AlternateContent>
          <mc:Choice Requires="wps">
            <w:drawing>
              <wp:anchor distT="5080" distB="5080" distL="5080" distR="5080" simplePos="0" relativeHeight="10" behindDoc="0" locked="0" layoutInCell="1" allowOverlap="1" wp14:anchorId="1B892864">
                <wp:simplePos x="0" y="0"/>
                <wp:positionH relativeFrom="column">
                  <wp:posOffset>1935480</wp:posOffset>
                </wp:positionH>
                <wp:positionV relativeFrom="paragraph">
                  <wp:posOffset>57785</wp:posOffset>
                </wp:positionV>
                <wp:extent cx="2197100" cy="635"/>
                <wp:effectExtent l="5080" t="5080" r="5080" b="5080"/>
                <wp:wrapNone/>
                <wp:docPr id="9" name="Straight Connector 4"/>
                <a:graphic xmlns:a="http://schemas.openxmlformats.org/drawingml/2006/main">
                  <a:graphicData uri="http://schemas.microsoft.com/office/word/2010/wordprocessingShape">
                    <wps:wsp>
                      <wps:cNvSpPr/>
                      <wps:spPr>
                        <a:xfrm>
                          <a:off x="0" y="0"/>
                          <a:ext cx="21970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2.4pt,4.55pt" to="325.35pt,4.55pt" stroked="t" o:allowincell="f" style="position:absolute" wp14:anchorId="1B892864">
                <v:stroke color="black" weight="9360" joinstyle="round" endcap="flat"/>
                <v:fill o:detectmouseclick="t" on="false"/>
                <w10:wrap type="none"/>
              </v:line>
            </w:pict>
          </mc:Fallback>
        </mc:AlternateContent>
      </w:r>
    </w:p>
    <w:p>
      <w:pPr>
        <w:pStyle w:val="Normal"/>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PHỤ LỤC 2</w:t>
      </w:r>
    </w:p>
    <w:p>
      <w:pPr>
        <w:pStyle w:val="Normal"/>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BẢNG PHÂN BỔ KINH PHÍ THỰC HIỆN NHIỆM VỤ KH&amp;CN</w:t>
      </w:r>
    </w:p>
    <w:p>
      <w:pPr>
        <w:pStyle w:val="Normal"/>
        <w:spacing w:lineRule="auto" w:line="360"/>
        <w:jc w:val="center"/>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t xml:space="preserve">(Đính kèm theo Hợp đồng giao nhiệm vụ Khoa học và Công nghệ </w:t>
      </w:r>
    </w:p>
    <w:p>
      <w:pPr>
        <w:pStyle w:val="Normal"/>
        <w:spacing w:lineRule="auto" w:line="360"/>
        <w:jc w:val="center"/>
        <w:rPr>
          <w:rFonts w:ascii="Times New Roman" w:hAnsi="Times New Roman" w:eastAsia="Times New Roman" w:cs="Times New Roman"/>
          <w:i/>
          <w:iCs/>
          <w:sz w:val="26"/>
          <w:szCs w:val="26"/>
        </w:rPr>
      </w:pPr>
      <w:r>
        <mc:AlternateContent>
          <mc:Choice Requires="wps">
            <w:drawing>
              <wp:anchor distT="5080" distB="5080" distL="5080" distR="5080" simplePos="0" relativeHeight="11" behindDoc="0" locked="0" layoutInCell="1" allowOverlap="1" wp14:anchorId="3ACD8364">
                <wp:simplePos x="0" y="0"/>
                <wp:positionH relativeFrom="column">
                  <wp:posOffset>2240280</wp:posOffset>
                </wp:positionH>
                <wp:positionV relativeFrom="paragraph">
                  <wp:posOffset>284480</wp:posOffset>
                </wp:positionV>
                <wp:extent cx="1650365" cy="0"/>
                <wp:effectExtent l="5080" t="5080" r="5080" b="5080"/>
                <wp:wrapNone/>
                <wp:docPr id="10" name="Straight Connector 4"/>
                <a:graphic xmlns:a="http://schemas.openxmlformats.org/drawingml/2006/main">
                  <a:graphicData uri="http://schemas.microsoft.com/office/word/2010/wordprocessingShape">
                    <wps:wsp>
                      <wps:cNvSpPr/>
                      <wps:spPr>
                        <a:xfrm>
                          <a:off x="0" y="0"/>
                          <a:ext cx="165024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76.4pt,22.4pt" to="306.3pt,22.4pt" stroked="t" o:allowincell="f" style="position:absolute" wp14:anchorId="3ACD8364">
                <v:stroke color="black" weight="9360" joinstyle="round" endcap="flat"/>
                <v:fill o:detectmouseclick="t" on="false"/>
                <w10:wrap type="none"/>
              </v:line>
            </w:pict>
          </mc:Fallback>
        </mc:AlternateContent>
      </w:r>
      <w:r>
        <w:rPr>
          <w:rFonts w:eastAsia="Times New Roman" w:cs="Times New Roman" w:ascii="Times New Roman" w:hAnsi="Times New Roman"/>
          <w:i/>
          <w:iCs/>
          <w:sz w:val="26"/>
          <w:szCs w:val="26"/>
        </w:rPr>
        <w:t>số 02/2026/HĐNN/QLKH ngày 15 tháng 3 năm 2026)</w:t>
      </w:r>
    </w:p>
    <w:p>
      <w:pPr>
        <w:pStyle w:val="Normal"/>
        <w:spacing w:lineRule="auto" w:line="360"/>
        <w:ind w:firstLine="567"/>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r>
    </w:p>
    <w:p>
      <w:pPr>
        <w:pStyle w:val="Normal"/>
        <w:spacing w:lineRule="auto" w:line="360"/>
        <w:ind w:firstLine="567"/>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 xml:space="preserve">Tên đề tài: </w:t>
      </w:r>
      <w:r>
        <w:rPr>
          <w:rFonts w:eastAsia="Times New Roman" w:cs="Times New Roman" w:ascii="Times New Roman" w:hAnsi="Times New Roman"/>
          <w:sz w:val="26"/>
          <w:szCs w:val="26"/>
        </w:rPr>
        <w:t>Early Detection of Alzheimer’s Disease and Mild Cognitive Impairment in Vietnamese Older Adults through Speech Analysis.</w:t>
      </w:r>
    </w:p>
    <w:p>
      <w:pPr>
        <w:pStyle w:val="Normal"/>
        <w:spacing w:lineRule="auto" w:line="360"/>
        <w:ind w:firstLine="567"/>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Chủ nhiệm đề tài:</w:t>
      </w:r>
      <w:r>
        <w:rPr>
          <w:rFonts w:eastAsia="Times New Roman" w:cs="Times New Roman" w:ascii="Times New Roman" w:hAnsi="Times New Roman"/>
          <w:sz w:val="26"/>
          <w:szCs w:val="26"/>
        </w:rPr>
        <w:t xml:space="preserve"> PGS.TS. Hà Thị Thanh Hương</w:t>
      </w:r>
    </w:p>
    <w:p>
      <w:pPr>
        <w:pStyle w:val="Normal"/>
        <w:spacing w:lineRule="auto" w:line="360"/>
        <w:ind w:firstLine="567"/>
        <w:rPr>
          <w:rFonts w:ascii="Times New Roman" w:hAnsi="Times New Roman" w:eastAsia="Times New Roman" w:cs="Times New Roman"/>
          <w:sz w:val="26"/>
          <w:szCs w:val="26"/>
        </w:rPr>
      </w:pPr>
      <w:r>
        <w:rPr>
          <w:rFonts w:eastAsia="Times New Roman" w:cs="Times New Roman" w:ascii="Times New Roman" w:hAnsi="Times New Roman"/>
          <w:b/>
          <w:bCs/>
          <w:sz w:val="26"/>
          <w:szCs w:val="26"/>
        </w:rPr>
        <w:t>Tổng kinh phí</w:t>
      </w:r>
      <w:r>
        <w:rPr>
          <w:rFonts w:eastAsia="Times New Roman" w:cs="Times New Roman" w:ascii="Times New Roman" w:hAnsi="Times New Roman"/>
          <w:sz w:val="26"/>
          <w:szCs w:val="26"/>
        </w:rPr>
        <w:t>: 2.000.000 JPY (Bằng chữ: Hai triệu Yên Nhật)</w:t>
      </w:r>
    </w:p>
    <w:p>
      <w:pPr>
        <w:pStyle w:val="Normal"/>
        <w:spacing w:lineRule="auto" w:line="360"/>
        <w:ind w:firstLine="567"/>
        <w:rPr>
          <w:rFonts w:ascii="Times New Roman" w:hAnsi="Times New Roman" w:eastAsia="Times New Roman" w:cs="Times New Roman"/>
          <w:sz w:val="26"/>
          <w:szCs w:val="26"/>
        </w:rPr>
      </w:pPr>
      <w:r>
        <w:rPr>
          <w:rFonts w:eastAsia="Times New Roman" w:cs="Times New Roman" w:ascii="Times New Roman" w:hAnsi="Times New Roman"/>
          <w:b/>
          <w:bCs/>
          <w:sz w:val="26"/>
          <w:szCs w:val="26"/>
        </w:rPr>
        <w:t xml:space="preserve">Thời gian thực hiện theo Hợp đồng: </w:t>
      </w:r>
      <w:r>
        <w:rPr>
          <w:rFonts w:eastAsia="Times New Roman" w:cs="Times New Roman" w:ascii="Times New Roman" w:hAnsi="Times New Roman"/>
          <w:sz w:val="26"/>
          <w:szCs w:val="26"/>
        </w:rPr>
        <w:t>từ ngày</w:t>
      </w:r>
      <w:r>
        <w:rPr>
          <w:rFonts w:eastAsia="Times New Roman" w:cs="Times New Roman" w:ascii="Times New Roman" w:hAnsi="Times New Roman"/>
          <w:b/>
          <w:bCs/>
          <w:sz w:val="26"/>
          <w:szCs w:val="26"/>
        </w:rPr>
        <w:t xml:space="preserve"> </w:t>
      </w:r>
      <w:r>
        <w:rPr>
          <w:rFonts w:eastAsia="Times New Roman" w:cs="Times New Roman" w:ascii="Times New Roman" w:hAnsi="Times New Roman"/>
          <w:sz w:val="26"/>
          <w:szCs w:val="26"/>
        </w:rPr>
        <w:t xml:space="preserve">15/3/2026 đến ngày 15/6/2027. </w:t>
      </w:r>
    </w:p>
    <w:p>
      <w:pPr>
        <w:pStyle w:val="Normal"/>
        <w:spacing w:lineRule="auto" w:line="360"/>
        <w:ind w:firstLine="567"/>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60"/>
        <w:ind w:firstLine="567"/>
        <w:jc w:val="end"/>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t>Đơn vị tính:  JPY</w:t>
      </w:r>
    </w:p>
    <w:tbl>
      <w:tblPr>
        <w:tblStyle w:val="a2"/>
        <w:tblW w:w="10206" w:type="dxa"/>
        <w:jc w:val="center"/>
        <w:tblInd w:w="0" w:type="dxa"/>
        <w:tblLayout w:type="fixed"/>
        <w:tblCellMar>
          <w:top w:w="0" w:type="dxa"/>
          <w:start w:w="108" w:type="dxa"/>
          <w:bottom w:w="0" w:type="dxa"/>
          <w:end w:w="108" w:type="dxa"/>
        </w:tblCellMar>
        <w:tblLook w:val="0400" w:noHBand="0" w:noVBand="1" w:firstColumn="0" w:lastRow="0" w:lastColumn="0" w:firstRow="0"/>
      </w:tblPr>
      <w:tblGrid>
        <w:gridCol w:w="704"/>
        <w:gridCol w:w="3967"/>
        <w:gridCol w:w="1278"/>
        <w:gridCol w:w="1127"/>
        <w:gridCol w:w="1422"/>
        <w:gridCol w:w="6"/>
        <w:gridCol w:w="1702"/>
      </w:tblGrid>
      <w:tr>
        <w:trPr>
          <w:tblHeader w:val="true"/>
          <w:trHeight w:val="706" w:hRule="atLeast"/>
        </w:trPr>
        <w:tc>
          <w:tcPr>
            <w:tcW w:w="704" w:type="dxa"/>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color w:val="auto"/>
                <w:highlight w:val="none"/>
                <w:shd w:fill="auto" w:val="clear"/>
              </w:rPr>
            </w:pPr>
            <w:r>
              <w:rPr>
                <w:rFonts w:eastAsia="Times New Roman" w:cs="Times New Roman" w:ascii="Times New Roman" w:hAnsi="Times New Roman"/>
                <w:b/>
                <w:bCs/>
                <w:color w:val="auto"/>
                <w:sz w:val="26"/>
                <w:szCs w:val="26"/>
                <w:shd w:fill="auto" w:val="clear"/>
              </w:rPr>
              <w:t>Stt</w:t>
            </w:r>
          </w:p>
        </w:tc>
        <w:tc>
          <w:tcPr>
            <w:tcW w:w="3967" w:type="dxa"/>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color w:val="auto"/>
                <w:highlight w:val="none"/>
                <w:shd w:fill="auto" w:val="clear"/>
              </w:rPr>
            </w:pPr>
            <w:r>
              <w:rPr>
                <w:rFonts w:eastAsia="Times New Roman" w:cs="Times New Roman" w:ascii="Times New Roman" w:hAnsi="Times New Roman"/>
                <w:b/>
                <w:bCs/>
                <w:color w:val="auto"/>
                <w:sz w:val="26"/>
                <w:szCs w:val="26"/>
                <w:shd w:fill="auto" w:val="clear"/>
              </w:rPr>
              <w:t>Nội dung</w:t>
            </w:r>
          </w:p>
        </w:tc>
        <w:tc>
          <w:tcPr>
            <w:tcW w:w="1278" w:type="dxa"/>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color w:val="auto"/>
                <w:highlight w:val="none"/>
                <w:shd w:fill="auto" w:val="clear"/>
              </w:rPr>
            </w:pPr>
            <w:r>
              <w:rPr>
                <w:rFonts w:eastAsia="Times New Roman" w:cs="Times New Roman" w:ascii="Times New Roman" w:hAnsi="Times New Roman"/>
                <w:b/>
                <w:bCs/>
                <w:color w:val="auto"/>
                <w:sz w:val="26"/>
                <w:szCs w:val="26"/>
                <w:shd w:fill="auto" w:val="clear"/>
              </w:rPr>
              <w:t>Đơn vị tính</w:t>
            </w:r>
          </w:p>
        </w:tc>
        <w:tc>
          <w:tcPr>
            <w:tcW w:w="1127" w:type="dxa"/>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color w:val="auto"/>
                <w:highlight w:val="none"/>
                <w:shd w:fill="auto" w:val="clear"/>
              </w:rPr>
            </w:pPr>
            <w:r>
              <w:rPr>
                <w:rFonts w:eastAsia="Times New Roman" w:cs="Times New Roman" w:ascii="Times New Roman" w:hAnsi="Times New Roman"/>
                <w:b/>
                <w:bCs/>
                <w:color w:val="auto"/>
                <w:sz w:val="26"/>
                <w:szCs w:val="26"/>
                <w:shd w:fill="auto" w:val="clear"/>
              </w:rPr>
              <w:t>Số lượng</w:t>
            </w:r>
          </w:p>
        </w:tc>
        <w:tc>
          <w:tcPr>
            <w:tcW w:w="1428"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color w:val="auto"/>
                <w:highlight w:val="none"/>
                <w:shd w:fill="auto" w:val="clear"/>
              </w:rPr>
            </w:pPr>
            <w:r>
              <w:rPr>
                <w:rFonts w:eastAsia="Times New Roman" w:cs="Times New Roman" w:ascii="Times New Roman" w:hAnsi="Times New Roman"/>
                <w:b/>
                <w:bCs/>
                <w:color w:val="auto"/>
                <w:sz w:val="26"/>
                <w:szCs w:val="26"/>
                <w:shd w:fill="auto" w:val="clear"/>
              </w:rPr>
              <w:t>Đơn giá</w:t>
            </w:r>
          </w:p>
        </w:tc>
        <w:tc>
          <w:tcPr>
            <w:tcW w:w="1702"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color w:val="auto"/>
                <w:highlight w:val="none"/>
                <w:shd w:fill="auto" w:val="clear"/>
              </w:rPr>
            </w:pPr>
            <w:r>
              <w:rPr>
                <w:rFonts w:eastAsia="Times New Roman" w:cs="Times New Roman" w:ascii="Times New Roman" w:hAnsi="Times New Roman"/>
                <w:b/>
                <w:bCs/>
                <w:color w:val="auto"/>
                <w:sz w:val="26"/>
                <w:szCs w:val="26"/>
                <w:shd w:fill="auto" w:val="clear"/>
              </w:rPr>
              <w:t>Thành tiền</w:t>
            </w:r>
          </w:p>
        </w:tc>
      </w:tr>
      <w:tr>
        <w:trPr>
          <w:trHeight w:val="445"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b/>
                <w:bCs/>
                <w:color w:val="auto"/>
                <w:sz w:val="26"/>
                <w:szCs w:val="26"/>
                <w:shd w:fill="auto" w:val="clear"/>
              </w:rPr>
              <w:t>1</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b/>
                <w:bCs/>
                <w:color w:val="auto"/>
                <w:sz w:val="26"/>
                <w:szCs w:val="26"/>
                <w:shd w:fill="auto" w:val="clear"/>
              </w:rPr>
              <w:t>Thiết bị</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120" w:after="120"/>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127"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b/>
                <w:bCs/>
                <w:color w:val="auto"/>
                <w:sz w:val="26"/>
                <w:szCs w:val="26"/>
                <w:shd w:fill="auto" w:val="clear"/>
              </w:rPr>
              <w:t>134.611</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color w:val="auto"/>
                <w:sz w:val="26"/>
                <w:szCs w:val="26"/>
                <w:shd w:fill="auto" w:val="clear"/>
              </w:rPr>
              <w:t>1.1</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120"/>
              <w:rPr>
                <w:color w:val="auto"/>
                <w:highlight w:val="none"/>
                <w:shd w:fill="auto" w:val="clear"/>
              </w:rPr>
            </w:pPr>
            <w:r>
              <w:rPr>
                <w:rFonts w:eastAsia="Times New Roman" w:cs="Times New Roman" w:ascii="Times New Roman" w:hAnsi="Times New Roman"/>
                <w:color w:val="auto"/>
                <w:sz w:val="26"/>
                <w:szCs w:val="26"/>
                <w:shd w:fill="auto" w:val="clear"/>
              </w:rPr>
              <w:t>Thiết bị thu mẫu giọng nói người tham gia: máy ghi âm cầm tay Zoom H6</w:t>
            </w:r>
          </w:p>
          <w:p>
            <w:pPr>
              <w:pStyle w:val="Normal"/>
              <w:spacing w:lineRule="auto" w:line="240" w:before="0" w:after="120"/>
              <w:rPr>
                <w:color w:val="auto"/>
                <w:highlight w:val="none"/>
                <w:shd w:fill="auto" w:val="clear"/>
              </w:rPr>
            </w:pPr>
            <w:r>
              <w:rPr>
                <w:rFonts w:eastAsia="Times New Roman" w:cs="Times New Roman" w:ascii="Times New Roman" w:hAnsi="Times New Roman"/>
                <w:i/>
                <w:iCs/>
                <w:color w:val="auto"/>
                <w:sz w:val="26"/>
                <w:szCs w:val="26"/>
                <w:shd w:fill="auto" w:val="clear"/>
              </w:rPr>
              <w:t xml:space="preserve">Thông số kỹ thuật: Máy ghi âm với 6 track, ghi âm 24-bit/96 kHz, đầu micro có thể thay thế (X/Y, Mid-Side), 4 đầu vào XLR/TRS với nguồn ảo, ghi trực tiếp vào thẻ SD lên đến 128 GB, thời lượng pin hơn 20 giờ. </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color w:val="auto"/>
                <w:sz w:val="26"/>
                <w:szCs w:val="26"/>
                <w:shd w:fill="auto" w:val="clear"/>
              </w:rPr>
              <w:t>Máy</w:t>
            </w:r>
          </w:p>
        </w:tc>
        <w:tc>
          <w:tcPr>
            <w:tcW w:w="1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color w:val="auto"/>
                <w:sz w:val="26"/>
                <w:szCs w:val="26"/>
                <w:shd w:fill="auto" w:val="clear"/>
              </w:rPr>
              <w:t>2</w:t>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58.205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116.410</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color w:val="auto"/>
                <w:sz w:val="26"/>
                <w:szCs w:val="26"/>
                <w:shd w:fill="auto" w:val="clear"/>
              </w:rPr>
              <w:t>1.2</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120"/>
              <w:rPr>
                <w:color w:val="auto"/>
                <w:highlight w:val="none"/>
                <w:shd w:fill="auto" w:val="clear"/>
              </w:rPr>
            </w:pPr>
            <w:r>
              <w:rPr>
                <w:rFonts w:eastAsia="Times New Roman" w:cs="Times New Roman" w:ascii="Times New Roman" w:hAnsi="Times New Roman"/>
                <w:color w:val="auto"/>
                <w:sz w:val="26"/>
                <w:szCs w:val="26"/>
                <w:shd w:fill="auto" w:val="clear"/>
              </w:rPr>
              <w:t>Thiết bị nhỏ lẻ: dây cáp âm thanh, thẻ nhớ,…</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120" w:after="120"/>
              <w:jc w:val="center"/>
              <w:rPr>
                <w:rFonts w:ascii="Times New Roman" w:hAnsi="Times New Roman" w:eastAsia="Times New Roman" w:cs="Times New Roman"/>
                <w:color w:val="auto"/>
                <w:sz w:val="26"/>
                <w:szCs w:val="26"/>
                <w:highlight w:val="none"/>
                <w:shd w:fill="auto" w:val="clear"/>
              </w:rPr>
            </w:pPr>
            <w:r>
              <w:rPr>
                <w:rFonts w:eastAsia="Times New Roman" w:cs="Times New Roman" w:ascii="Times New Roman" w:hAnsi="Times New Roman"/>
                <w:color w:val="auto"/>
                <w:sz w:val="26"/>
                <w:szCs w:val="26"/>
                <w:shd w:fill="auto" w:val="clear"/>
              </w:rPr>
            </w:r>
          </w:p>
        </w:tc>
        <w:tc>
          <w:tcPr>
            <w:tcW w:w="1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Times New Roman" w:cs="Times New Roman"/>
                <w:color w:val="auto"/>
                <w:sz w:val="26"/>
                <w:szCs w:val="26"/>
                <w:highlight w:val="none"/>
                <w:shd w:fill="auto" w:val="clear"/>
              </w:rPr>
            </w:pPr>
            <w:r>
              <w:rPr>
                <w:rFonts w:eastAsia="Times New Roman" w:cs="Times New Roman" w:ascii="Times New Roman" w:hAnsi="Times New Roman"/>
                <w:color w:val="auto"/>
                <w:sz w:val="26"/>
                <w:szCs w:val="26"/>
                <w:shd w:fill="auto" w:val="clear"/>
              </w:rPr>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5.598</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5.598</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color w:val="auto"/>
                <w:sz w:val="26"/>
                <w:szCs w:val="26"/>
                <w:shd w:fill="auto" w:val="clear"/>
              </w:rPr>
              <w:t>1.3</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120"/>
              <w:rPr>
                <w:color w:val="auto"/>
                <w:highlight w:val="none"/>
                <w:shd w:fill="auto" w:val="clear"/>
              </w:rPr>
            </w:pPr>
            <w:r>
              <w:rPr>
                <w:rFonts w:eastAsia="Times New Roman" w:cs="Times New Roman" w:ascii="Times New Roman" w:hAnsi="Times New Roman"/>
                <w:color w:val="auto"/>
                <w:sz w:val="26"/>
                <w:szCs w:val="26"/>
                <w:shd w:fill="auto" w:val="clear"/>
              </w:rPr>
              <w:t>Gói mở rộng lưu trữ dữ liệu trên nền tảng đám mây: Google One trong 12 tháng</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color w:val="auto"/>
                <w:sz w:val="26"/>
                <w:szCs w:val="26"/>
                <w:shd w:fill="auto" w:val="clear"/>
              </w:rPr>
              <w:t>Gói dịch vụ</w:t>
            </w:r>
          </w:p>
        </w:tc>
        <w:tc>
          <w:tcPr>
            <w:tcW w:w="1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color w:val="auto"/>
                <w:sz w:val="26"/>
                <w:szCs w:val="26"/>
                <w:shd w:fill="auto" w:val="clear"/>
              </w:rPr>
              <w:t>1</w:t>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12.603</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12.603</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b/>
                <w:bCs/>
                <w:color w:val="auto"/>
                <w:sz w:val="26"/>
                <w:szCs w:val="26"/>
                <w:shd w:fill="auto" w:val="clear"/>
              </w:rPr>
              <w:t>2</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b/>
                <w:bCs/>
                <w:color w:val="auto"/>
                <w:sz w:val="26"/>
                <w:szCs w:val="26"/>
                <w:shd w:fill="auto" w:val="clear"/>
              </w:rPr>
              <w:t>Nhân công lao động</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127" w:type="dxa"/>
            <w:tcBorders>
              <w:top w:val="single" w:sz="4" w:space="0" w:color="000000"/>
              <w:start w:val="single" w:sz="4" w:space="0" w:color="000000"/>
              <w:bottom w:val="single" w:sz="4" w:space="0" w:color="000000"/>
              <w:end w:val="single" w:sz="4" w:space="0" w:color="000000"/>
            </w:tcBorders>
          </w:tcPr>
          <w:p>
            <w:pPr>
              <w:pStyle w:val="Normal"/>
              <w:spacing w:lineRule="auto" w:line="240"/>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color w:val="auto"/>
                <w:highlight w:val="none"/>
                <w:shd w:fill="auto" w:val="clear"/>
              </w:rPr>
            </w:pPr>
            <w:r>
              <w:rPr>
                <w:rFonts w:eastAsia="Times New Roman" w:cs="Times New Roman" w:ascii="Times New Roman" w:hAnsi="Times New Roman"/>
                <w:b/>
                <w:bCs/>
                <w:color w:val="auto"/>
                <w:sz w:val="26"/>
                <w:szCs w:val="26"/>
                <w:shd w:fill="auto" w:val="clear"/>
              </w:rPr>
              <w:t>1.238.365</w:t>
            </w:r>
          </w:p>
        </w:tc>
      </w:tr>
      <w:tr>
        <w:trPr>
          <w:trHeight w:val="993"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2.1</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color w:val="auto"/>
                <w:sz w:val="26"/>
                <w:szCs w:val="26"/>
                <w:shd w:fill="auto" w:val="clear"/>
              </w:rPr>
              <w:t>Thù lao chi trả cho đối tượng tham gia nghiên cứu bao gồm hỗ trợ một phần chi phí y tế, và thù lao khi thực hiện các tác vụ giọng nói trong nghiên cứu</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Người</w:t>
            </w:r>
          </w:p>
        </w:tc>
        <w:tc>
          <w:tcPr>
            <w:tcW w:w="1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170</w:t>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color w:val="auto"/>
                <w:highlight w:val="none"/>
                <w:shd w:fill="auto" w:val="clear"/>
              </w:rPr>
            </w:pPr>
            <w:r>
              <w:rPr>
                <w:rFonts w:eastAsia="Times New Roman" w:cs="Times New Roman" w:ascii="Times New Roman" w:hAnsi="Times New Roman"/>
                <w:color w:val="auto"/>
                <w:sz w:val="26"/>
                <w:szCs w:val="26"/>
                <w:shd w:fill="auto" w:val="clear"/>
              </w:rPr>
              <w:t>2.</w:t>
            </w:r>
            <w:r>
              <w:rPr>
                <w:rFonts w:eastAsia="Times New Roman" w:cs="Times New Roman" w:ascii="Times New Roman" w:hAnsi="Times New Roman"/>
                <w:color w:val="auto"/>
                <w:sz w:val="26"/>
                <w:szCs w:val="26"/>
                <w:shd w:fill="auto" w:val="clear"/>
              </w:rPr>
              <w:t>791</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color w:val="auto"/>
                <w:highlight w:val="none"/>
                <w:shd w:fill="auto" w:val="clear"/>
              </w:rPr>
            </w:pPr>
            <w:r>
              <w:rPr>
                <w:rFonts w:eastAsia="Times New Roman" w:cs="Times New Roman" w:ascii="Times New Roman" w:hAnsi="Times New Roman"/>
                <w:color w:val="auto"/>
                <w:sz w:val="26"/>
                <w:szCs w:val="26"/>
                <w:shd w:fill="auto" w:val="clear"/>
              </w:rPr>
              <w:t>474.470</w:t>
            </w:r>
          </w:p>
        </w:tc>
      </w:tr>
      <w:tr>
        <w:trPr>
          <w:trHeight w:val="794"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2.2</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color w:val="auto"/>
                <w:sz w:val="26"/>
                <w:szCs w:val="26"/>
                <w:shd w:fill="auto" w:val="clear"/>
              </w:rPr>
              <w:t>Thù lao cho nhân viên y tế đánh giá lâm sàng và giám sát y tế</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Mẫu</w:t>
            </w:r>
          </w:p>
        </w:tc>
        <w:tc>
          <w:tcPr>
            <w:tcW w:w="1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170</w:t>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color w:val="auto"/>
                <w:highlight w:val="none"/>
                <w:shd w:fill="auto" w:val="clear"/>
              </w:rPr>
            </w:pPr>
            <w:r>
              <w:rPr>
                <w:rFonts w:eastAsia="Times New Roman" w:cs="Times New Roman" w:ascii="Times New Roman" w:hAnsi="Times New Roman"/>
                <w:color w:val="auto"/>
                <w:sz w:val="26"/>
                <w:szCs w:val="26"/>
                <w:shd w:fill="auto" w:val="clear"/>
              </w:rPr>
              <w:t>3.714,5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color w:val="auto"/>
                <w:highlight w:val="none"/>
                <w:shd w:fill="auto" w:val="clear"/>
              </w:rPr>
            </w:pPr>
            <w:r>
              <w:rPr>
                <w:rFonts w:eastAsia="Times New Roman" w:cs="Times New Roman" w:ascii="Times New Roman" w:hAnsi="Times New Roman"/>
                <w:color w:val="auto"/>
                <w:sz w:val="26"/>
                <w:szCs w:val="26"/>
                <w:shd w:fill="auto" w:val="clear"/>
              </w:rPr>
              <w:t>631.465</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2.3</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color w:val="auto"/>
                <w:sz w:val="26"/>
                <w:szCs w:val="26"/>
                <w:shd w:fill="auto" w:val="clear"/>
              </w:rPr>
              <w:t>Thù lao cho Kỹ thuật viên thu mẫu</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Mẫu</w:t>
            </w:r>
          </w:p>
        </w:tc>
        <w:tc>
          <w:tcPr>
            <w:tcW w:w="1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170</w:t>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color w:val="auto"/>
                <w:highlight w:val="none"/>
                <w:shd w:fill="auto" w:val="clear"/>
              </w:rPr>
            </w:pPr>
            <w:r>
              <w:rPr>
                <w:rFonts w:eastAsia="Times New Roman" w:cs="Times New Roman" w:ascii="Times New Roman" w:hAnsi="Times New Roman"/>
                <w:color w:val="auto"/>
                <w:sz w:val="26"/>
                <w:szCs w:val="26"/>
                <w:shd w:fill="auto" w:val="clear"/>
              </w:rPr>
              <w:t>779</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color w:val="auto"/>
                <w:highlight w:val="none"/>
                <w:shd w:fill="auto" w:val="clear"/>
              </w:rPr>
            </w:pPr>
            <w:r>
              <w:rPr>
                <w:rFonts w:eastAsia="Times New Roman" w:cs="Times New Roman" w:ascii="Times New Roman" w:hAnsi="Times New Roman"/>
                <w:color w:val="auto"/>
                <w:sz w:val="26"/>
                <w:szCs w:val="26"/>
                <w:shd w:fill="auto" w:val="clear"/>
              </w:rPr>
              <w:t>132.430</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b/>
                <w:bCs/>
                <w:color w:val="auto"/>
                <w:sz w:val="26"/>
                <w:szCs w:val="26"/>
                <w:shd w:fill="auto" w:val="clear"/>
              </w:rPr>
              <w:t>3</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b/>
                <w:bCs/>
                <w:color w:val="auto"/>
                <w:sz w:val="26"/>
                <w:szCs w:val="26"/>
                <w:shd w:fill="auto" w:val="clear"/>
              </w:rPr>
              <w:t>Chi phí đi lại</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jc w:val="center"/>
              <w:rPr>
                <w:rFonts w:ascii="Times New Roman" w:hAnsi="Times New Roman" w:eastAsia="Times New Roman" w:cs="Times New Roman"/>
                <w:b/>
                <w:bCs/>
                <w:i/>
                <w:iCs/>
                <w:color w:val="auto"/>
                <w:sz w:val="26"/>
                <w:szCs w:val="26"/>
                <w:highlight w:val="none"/>
                <w:shd w:fill="auto" w:val="clear"/>
              </w:rPr>
            </w:pPr>
            <w:r>
              <w:rPr>
                <w:rFonts w:eastAsia="Times New Roman" w:cs="Times New Roman" w:ascii="Times New Roman" w:hAnsi="Times New Roman"/>
                <w:b/>
                <w:bCs/>
                <w:i/>
                <w:iCs/>
                <w:color w:val="auto"/>
                <w:sz w:val="26"/>
                <w:szCs w:val="26"/>
                <w:shd w:fill="auto" w:val="clear"/>
              </w:rPr>
            </w:r>
          </w:p>
        </w:tc>
        <w:tc>
          <w:tcPr>
            <w:tcW w:w="1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color w:val="auto"/>
                <w:highlight w:val="none"/>
                <w:shd w:fill="auto" w:val="clear"/>
              </w:rPr>
            </w:pPr>
            <w:r>
              <w:rPr>
                <w:rFonts w:eastAsia="Times New Roman" w:cs="Times New Roman" w:ascii="Times New Roman" w:hAnsi="Times New Roman"/>
                <w:b/>
                <w:bCs/>
                <w:color w:val="auto"/>
                <w:sz w:val="26"/>
                <w:szCs w:val="26"/>
                <w:shd w:fill="auto" w:val="clear"/>
              </w:rPr>
              <w:t>295.915</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3.1</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color w:val="auto"/>
                <w:sz w:val="26"/>
                <w:szCs w:val="26"/>
                <w:shd w:fill="auto" w:val="clear"/>
              </w:rPr>
              <w:t>Chi phí tham gia chương trình trao đổi thực tập sinh cao học tại Nhật Bản: 01 học viên đi trao đổi trong 02 tuần</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Lần</w:t>
            </w:r>
          </w:p>
        </w:tc>
        <w:tc>
          <w:tcPr>
            <w:tcW w:w="11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color w:val="auto"/>
                <w:highlight w:val="none"/>
                <w:shd w:fill="auto" w:val="clear"/>
              </w:rPr>
            </w:pPr>
            <w:r>
              <w:rPr>
                <w:rFonts w:eastAsia="Times New Roman" w:cs="Times New Roman" w:ascii="Times New Roman" w:hAnsi="Times New Roman"/>
                <w:color w:val="auto"/>
                <w:sz w:val="26"/>
                <w:szCs w:val="26"/>
                <w:shd w:fill="auto" w:val="clear"/>
              </w:rPr>
              <w:t>1</w:t>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color w:val="auto"/>
                <w:highlight w:val="none"/>
                <w:shd w:fill="auto" w:val="clear"/>
              </w:rPr>
            </w:pPr>
            <w:r>
              <w:rPr>
                <w:rFonts w:eastAsia="Times New Roman" w:cs="Times New Roman" w:ascii="Times New Roman" w:hAnsi="Times New Roman"/>
                <w:color w:val="auto"/>
                <w:sz w:val="26"/>
                <w:szCs w:val="26"/>
                <w:shd w:fill="auto" w:val="clear"/>
              </w:rPr>
              <w:t>295.915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end"/>
              <w:rPr>
                <w:color w:val="auto"/>
                <w:highlight w:val="none"/>
                <w:shd w:fill="auto" w:val="clear"/>
              </w:rPr>
            </w:pPr>
            <w:r>
              <w:rPr>
                <w:rFonts w:eastAsia="Times New Roman" w:cs="Times New Roman" w:ascii="Times New Roman" w:hAnsi="Times New Roman"/>
                <w:color w:val="auto"/>
                <w:sz w:val="26"/>
                <w:szCs w:val="26"/>
                <w:shd w:fill="auto" w:val="clear"/>
              </w:rPr>
              <w:t>295.915</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b/>
                <w:bCs/>
                <w:color w:val="auto"/>
                <w:sz w:val="26"/>
                <w:szCs w:val="26"/>
                <w:shd w:fill="auto" w:val="clear"/>
              </w:rPr>
              <w:t>4</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b/>
                <w:bCs/>
                <w:color w:val="auto"/>
                <w:sz w:val="26"/>
                <w:szCs w:val="26"/>
                <w:shd w:fill="auto" w:val="clear"/>
              </w:rPr>
              <w:t>Chi phí khác</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120" w:after="120"/>
              <w:jc w:val="center"/>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127"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rFonts w:ascii="Times New Roman" w:hAnsi="Times New Roman" w:eastAsia="Times New Roman" w:cs="Times New Roman"/>
                <w:b/>
                <w:bCs/>
                <w:color w:val="auto"/>
                <w:sz w:val="26"/>
                <w:szCs w:val="26"/>
                <w:highlight w:val="none"/>
                <w:shd w:fill="auto" w:val="clear"/>
              </w:rPr>
            </w:pPr>
            <w:r>
              <w:rPr>
                <w:rFonts w:eastAsia="Times New Roman" w:cs="Times New Roman" w:ascii="Times New Roman" w:hAnsi="Times New Roman"/>
                <w:b/>
                <w:bCs/>
                <w:color w:val="auto"/>
                <w:sz w:val="26"/>
                <w:szCs w:val="26"/>
                <w:shd w:fill="auto" w:val="clear"/>
              </w:rPr>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b/>
                <w:bCs/>
                <w:color w:val="auto"/>
                <w:sz w:val="26"/>
                <w:szCs w:val="26"/>
                <w:shd w:fill="auto" w:val="clear"/>
              </w:rPr>
              <w:t>331.109</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color w:val="auto"/>
                <w:sz w:val="26"/>
                <w:szCs w:val="26"/>
                <w:shd w:fill="auto" w:val="clear"/>
              </w:rPr>
              <w:t>4.1</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color w:val="auto"/>
                <w:sz w:val="26"/>
                <w:szCs w:val="26"/>
                <w:shd w:fill="auto" w:val="clear"/>
              </w:rPr>
              <w:t>In ấn, tài liệu và văn phòng phẩm</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120" w:after="120"/>
              <w:jc w:val="center"/>
              <w:rPr>
                <w:rFonts w:ascii="Times New Roman" w:hAnsi="Times New Roman" w:eastAsia="Times New Roman" w:cs="Times New Roman"/>
                <w:color w:val="auto"/>
                <w:sz w:val="26"/>
                <w:szCs w:val="26"/>
                <w:highlight w:val="none"/>
                <w:shd w:fill="auto" w:val="clear"/>
              </w:rPr>
            </w:pPr>
            <w:r>
              <w:rPr>
                <w:rFonts w:eastAsia="Times New Roman" w:cs="Times New Roman" w:ascii="Times New Roman" w:hAnsi="Times New Roman"/>
                <w:color w:val="auto"/>
                <w:sz w:val="26"/>
                <w:szCs w:val="26"/>
                <w:shd w:fill="auto" w:val="clear"/>
              </w:rPr>
            </w:r>
          </w:p>
        </w:tc>
        <w:tc>
          <w:tcPr>
            <w:tcW w:w="1127"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Times New Roman" w:cs="Times New Roman"/>
                <w:color w:val="auto"/>
                <w:sz w:val="26"/>
                <w:szCs w:val="26"/>
                <w:highlight w:val="none"/>
                <w:shd w:fill="auto" w:val="clear"/>
              </w:rPr>
            </w:pPr>
            <w:r>
              <w:rPr>
                <w:rFonts w:eastAsia="Times New Roman" w:cs="Times New Roman" w:ascii="Times New Roman" w:hAnsi="Times New Roman"/>
                <w:color w:val="auto"/>
                <w:sz w:val="26"/>
                <w:szCs w:val="26"/>
                <w:shd w:fill="auto" w:val="clear"/>
              </w:rPr>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11.197</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11.197</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color w:val="auto"/>
                <w:sz w:val="26"/>
                <w:szCs w:val="26"/>
                <w:shd w:fill="auto" w:val="clear"/>
              </w:rPr>
              <w:t>4.2</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color w:val="auto"/>
                <w:sz w:val="26"/>
                <w:szCs w:val="26"/>
                <w:shd w:fill="auto" w:val="clear"/>
              </w:rPr>
              <w:t>Phí xuất bản và báo cáo kết quả đề tài</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120" w:after="120"/>
              <w:jc w:val="center"/>
              <w:rPr>
                <w:rFonts w:ascii="Times New Roman" w:hAnsi="Times New Roman" w:eastAsia="Times New Roman" w:cs="Times New Roman"/>
                <w:color w:val="auto"/>
                <w:sz w:val="26"/>
                <w:szCs w:val="26"/>
                <w:highlight w:val="none"/>
                <w:shd w:fill="auto" w:val="clear"/>
              </w:rPr>
            </w:pPr>
            <w:r>
              <w:rPr>
                <w:rFonts w:eastAsia="Times New Roman" w:cs="Times New Roman" w:ascii="Times New Roman" w:hAnsi="Times New Roman"/>
                <w:color w:val="auto"/>
                <w:sz w:val="26"/>
                <w:szCs w:val="26"/>
                <w:shd w:fill="auto" w:val="clear"/>
              </w:rPr>
            </w:r>
          </w:p>
        </w:tc>
        <w:tc>
          <w:tcPr>
            <w:tcW w:w="1127"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Times New Roman" w:cs="Times New Roman"/>
                <w:color w:val="auto"/>
                <w:sz w:val="26"/>
                <w:szCs w:val="26"/>
                <w:highlight w:val="none"/>
                <w:shd w:fill="auto" w:val="clear"/>
              </w:rPr>
            </w:pPr>
            <w:r>
              <w:rPr>
                <w:rFonts w:eastAsia="Times New Roman" w:cs="Times New Roman" w:ascii="Times New Roman" w:hAnsi="Times New Roman"/>
                <w:color w:val="auto"/>
                <w:sz w:val="26"/>
                <w:szCs w:val="26"/>
                <w:shd w:fill="auto" w:val="clear"/>
              </w:rPr>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279.707</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279.707</w:t>
            </w:r>
          </w:p>
        </w:tc>
      </w:tr>
      <w:tr>
        <w:trPr>
          <w:trHeight w:val="556" w:hRule="atLeast"/>
        </w:trPr>
        <w:tc>
          <w:tcPr>
            <w:tcW w:w="7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color w:val="auto"/>
                <w:highlight w:val="none"/>
                <w:shd w:fill="auto" w:val="clear"/>
              </w:rPr>
            </w:pPr>
            <w:r>
              <w:rPr>
                <w:rFonts w:eastAsia="Times New Roman" w:cs="Times New Roman" w:ascii="Times New Roman" w:hAnsi="Times New Roman"/>
                <w:color w:val="auto"/>
                <w:sz w:val="26"/>
                <w:szCs w:val="26"/>
                <w:shd w:fill="auto" w:val="clear"/>
              </w:rPr>
              <w:t>4.3</w:t>
            </w:r>
          </w:p>
        </w:tc>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rPr>
                <w:color w:val="auto"/>
                <w:highlight w:val="none"/>
                <w:shd w:fill="auto" w:val="clear"/>
              </w:rPr>
            </w:pPr>
            <w:r>
              <w:rPr>
                <w:rFonts w:eastAsia="Times New Roman" w:cs="Times New Roman" w:ascii="Times New Roman" w:hAnsi="Times New Roman"/>
                <w:color w:val="auto"/>
                <w:sz w:val="26"/>
                <w:szCs w:val="26"/>
                <w:shd w:fill="auto" w:val="clear"/>
              </w:rPr>
              <w:t>Quản lý phí của cơ quan chủ trì</w:t>
            </w:r>
          </w:p>
        </w:tc>
        <w:tc>
          <w:tcPr>
            <w:tcW w:w="127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120" w:after="120"/>
              <w:jc w:val="center"/>
              <w:rPr>
                <w:rFonts w:ascii="Times New Roman" w:hAnsi="Times New Roman" w:eastAsia="Times New Roman" w:cs="Times New Roman"/>
                <w:color w:val="auto"/>
                <w:sz w:val="26"/>
                <w:szCs w:val="26"/>
                <w:highlight w:val="none"/>
                <w:shd w:fill="auto" w:val="clear"/>
              </w:rPr>
            </w:pPr>
            <w:r>
              <w:rPr>
                <w:rFonts w:eastAsia="Times New Roman" w:cs="Times New Roman" w:ascii="Times New Roman" w:hAnsi="Times New Roman"/>
                <w:color w:val="auto"/>
                <w:sz w:val="26"/>
                <w:szCs w:val="26"/>
                <w:shd w:fill="auto" w:val="clear"/>
              </w:rPr>
            </w:r>
          </w:p>
        </w:tc>
        <w:tc>
          <w:tcPr>
            <w:tcW w:w="1127"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Times New Roman" w:hAnsi="Times New Roman" w:eastAsia="Times New Roman" w:cs="Times New Roman"/>
                <w:color w:val="auto"/>
                <w:sz w:val="26"/>
                <w:szCs w:val="26"/>
                <w:highlight w:val="none"/>
                <w:shd w:fill="auto" w:val="clear"/>
              </w:rPr>
            </w:pPr>
            <w:r>
              <w:rPr>
                <w:rFonts w:eastAsia="Times New Roman" w:cs="Times New Roman" w:ascii="Times New Roman" w:hAnsi="Times New Roman"/>
                <w:color w:val="auto"/>
                <w:sz w:val="26"/>
                <w:szCs w:val="26"/>
                <w:shd w:fill="auto" w:val="clear"/>
              </w:rPr>
            </w:r>
          </w:p>
        </w:tc>
        <w:tc>
          <w:tcPr>
            <w:tcW w:w="142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40.205</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color w:val="auto"/>
                <w:sz w:val="26"/>
                <w:szCs w:val="26"/>
                <w:shd w:fill="auto" w:val="clear"/>
              </w:rPr>
              <w:t>40.205</w:t>
            </w:r>
          </w:p>
        </w:tc>
      </w:tr>
      <w:tr>
        <w:trPr>
          <w:trHeight w:val="556" w:hRule="atLeast"/>
        </w:trPr>
        <w:tc>
          <w:tcPr>
            <w:tcW w:w="8498" w:type="dxa"/>
            <w:gridSpan w:val="5"/>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b/>
                <w:bCs/>
                <w:color w:val="auto"/>
                <w:sz w:val="26"/>
                <w:szCs w:val="26"/>
                <w:shd w:fill="auto" w:val="clear"/>
              </w:rPr>
              <w:t>Tổng cộng</w:t>
            </w:r>
          </w:p>
        </w:tc>
        <w:tc>
          <w:tcPr>
            <w:tcW w:w="170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end"/>
              <w:rPr>
                <w:color w:val="auto"/>
                <w:highlight w:val="none"/>
                <w:shd w:fill="auto" w:val="clear"/>
              </w:rPr>
            </w:pPr>
            <w:r>
              <w:rPr>
                <w:rFonts w:eastAsia="Times New Roman" w:cs="Times New Roman" w:ascii="Times New Roman" w:hAnsi="Times New Roman"/>
                <w:b/>
                <w:bCs/>
                <w:color w:val="auto"/>
                <w:sz w:val="26"/>
                <w:szCs w:val="26"/>
                <w:shd w:fill="auto" w:val="clear"/>
              </w:rPr>
              <w:t>2.000.000</w:t>
            </w:r>
          </w:p>
        </w:tc>
      </w:tr>
    </w:tbl>
    <w:p>
      <w:pPr>
        <w:pStyle w:val="Normal"/>
        <w:spacing w:lineRule="auto" w:line="240" w:before="120" w:after="120"/>
        <w:rPr>
          <w:rFonts w:ascii="Times New Roman" w:hAnsi="Times New Roman" w:eastAsia="Times New Roman" w:cs="Times New Roman"/>
          <w:i/>
          <w:iCs/>
          <w:sz w:val="26"/>
          <w:szCs w:val="26"/>
        </w:rPr>
      </w:pPr>
      <w:r>
        <w:rPr>
          <w:rFonts w:eastAsia="Times New Roman" w:cs="Times New Roman" w:ascii="Times New Roman" w:hAnsi="Times New Roman"/>
          <w:i/>
          <w:iCs/>
          <w:sz w:val="26"/>
          <w:szCs w:val="26"/>
        </w:rPr>
        <w:t>Bằng chữ: Hai triệu Yên Nhật./.</w:t>
      </w:r>
    </w:p>
    <w:p>
      <w:pPr>
        <w:pStyle w:val="Normal"/>
        <w:rPr/>
      </w:pPr>
      <w:r>
        <w:rPr/>
      </w:r>
    </w:p>
    <w:sectPr>
      <w:type w:val="nextPage"/>
      <w:pgSz w:w="11906" w:h="16838"/>
      <w:pgMar w:left="1134" w:right="1134" w:gutter="0" w:header="0" w:top="851"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characterSet="windows-1252"/>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characterSet="utf-8"/>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 w:name="Wingdings">
    <w:charset w:val="02"/>
    <w:family w:val="auto"/>
    <w:pitch w:val="default"/>
  </w:font>
  <w:font w:name="OpenSymbol">
    <w:altName w:val="Arial Unicode MS"/>
    <w:charset w:val="01"/>
    <w:family w:val="auto"/>
    <w:pitch w:val="variable"/>
    <w:embedRegular r:id="rId17" w:fontKey="{11014A78-CABC-4EF0-12AC-5CD89AEFDE11}"/>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80" w:hanging="360"/>
      </w:pPr>
      <w:rPr>
        <w:rFonts w:ascii="Symbol" w:hAnsi="Symbol" w:cs="Symbol" w:hint="default"/>
        <w:u w:val="none"/>
      </w:rPr>
    </w:lvl>
    <w:lvl w:ilvl="1">
      <w:start w:val="1"/>
      <w:numFmt w:val="bullet"/>
      <w:lvlText w:val=""/>
      <w:lvlJc w:val="start"/>
      <w:pPr>
        <w:tabs>
          <w:tab w:val="num" w:pos="0"/>
        </w:tabs>
        <w:ind w:start="1800" w:hanging="360"/>
      </w:pPr>
      <w:rPr>
        <w:rFonts w:ascii="Wingdings" w:hAnsi="Wingdings" w:cs="Wingdings" w:hint="default"/>
      </w:rPr>
    </w:lvl>
    <w:lvl w:ilvl="2">
      <w:start w:val="1"/>
      <w:numFmt w:val="bullet"/>
      <w:lvlText w:val="▪"/>
      <w:lvlJc w:val="start"/>
      <w:pPr>
        <w:tabs>
          <w:tab w:val="num" w:pos="0"/>
        </w:tabs>
        <w:ind w:start="2520" w:hanging="360"/>
      </w:pPr>
      <w:rPr>
        <w:rFonts w:ascii="OpenSymbol" w:hAnsi="OpenSymbol" w:cs="OpenSymbol" w:hint="default"/>
        <w:u w:val="none"/>
      </w:rPr>
    </w:lvl>
    <w:lvl w:ilvl="3">
      <w:start w:val="1"/>
      <w:numFmt w:val="bullet"/>
      <w:lvlText w:val=""/>
      <w:lvlJc w:val="start"/>
      <w:pPr>
        <w:tabs>
          <w:tab w:val="num" w:pos="0"/>
        </w:tabs>
        <w:ind w:start="3240" w:hanging="360"/>
      </w:pPr>
      <w:rPr>
        <w:rFonts w:ascii="Wingdings" w:hAnsi="Wingdings" w:cs="Wingdings" w:hint="default"/>
        <w:u w:val="none"/>
      </w:rPr>
    </w:lvl>
    <w:lvl w:ilvl="4">
      <w:start w:val="1"/>
      <w:numFmt w:val="bullet"/>
      <w:lvlText w:val="o"/>
      <w:lvlJc w:val="start"/>
      <w:pPr>
        <w:tabs>
          <w:tab w:val="num" w:pos="0"/>
        </w:tabs>
        <w:ind w:start="3960" w:hanging="360"/>
      </w:pPr>
      <w:rPr>
        <w:rFonts w:ascii="OpenSymbol" w:hAnsi="OpenSymbol" w:cs="OpenSymbol" w:hint="default"/>
        <w:u w:val="none"/>
      </w:rPr>
    </w:lvl>
    <w:lvl w:ilvl="5">
      <w:start w:val="1"/>
      <w:numFmt w:val="bullet"/>
      <w:lvlText w:val="▪"/>
      <w:lvlJc w:val="start"/>
      <w:pPr>
        <w:tabs>
          <w:tab w:val="num" w:pos="0"/>
        </w:tabs>
        <w:ind w:start="4680" w:hanging="360"/>
      </w:pPr>
      <w:rPr>
        <w:rFonts w:ascii="OpenSymbol" w:hAnsi="OpenSymbol" w:cs="OpenSymbol" w:hint="default"/>
        <w:u w:val="none"/>
      </w:rPr>
    </w:lvl>
    <w:lvl w:ilvl="6">
      <w:start w:val="1"/>
      <w:numFmt w:val="bullet"/>
      <w:lvlText w:val=""/>
      <w:lvlJc w:val="start"/>
      <w:pPr>
        <w:tabs>
          <w:tab w:val="num" w:pos="0"/>
        </w:tabs>
        <w:ind w:start="5400" w:hanging="360"/>
      </w:pPr>
      <w:rPr>
        <w:rFonts w:ascii="Wingdings" w:hAnsi="Wingdings" w:cs="Wingdings" w:hint="default"/>
        <w:u w:val="none"/>
      </w:rPr>
    </w:lvl>
    <w:lvl w:ilvl="7">
      <w:start w:val="1"/>
      <w:numFmt w:val="bullet"/>
      <w:lvlText w:val="o"/>
      <w:lvlJc w:val="start"/>
      <w:pPr>
        <w:tabs>
          <w:tab w:val="num" w:pos="0"/>
        </w:tabs>
        <w:ind w:start="6120" w:hanging="360"/>
      </w:pPr>
      <w:rPr>
        <w:rFonts w:ascii="OpenSymbol" w:hAnsi="OpenSymbol" w:cs="OpenSymbol" w:hint="default"/>
        <w:u w:val="none"/>
      </w:rPr>
    </w:lvl>
    <w:lvl w:ilvl="8">
      <w:start w:val="1"/>
      <w:numFmt w:val="bullet"/>
      <w:lvlText w:val="▪"/>
      <w:lvlJc w:val="start"/>
      <w:pPr>
        <w:tabs>
          <w:tab w:val="num" w:pos="0"/>
        </w:tabs>
        <w:ind w:start="684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Symbol" w:hAnsi="Symbol" w:cs="Symbol" w:hint="default"/>
        <w:u w:val="none"/>
      </w:rPr>
    </w:lvl>
    <w:lvl w:ilvl="2">
      <w:start w:val="1"/>
      <w:numFmt w:val="bullet"/>
      <w:lvlText w:val=""/>
      <w:lvlJc w:val="start"/>
      <w:pPr>
        <w:tabs>
          <w:tab w:val="num" w:pos="0"/>
        </w:tabs>
        <w:ind w:start="2160" w:hanging="360"/>
      </w:pPr>
      <w:rPr>
        <w:rFonts w:ascii="Symbol" w:hAnsi="Symbol" w:cs="Symbol" w:hint="default"/>
        <w:u w:val="none"/>
      </w:rPr>
    </w:lvl>
    <w:lvl w:ilvl="3">
      <w:start w:val="1"/>
      <w:numFmt w:val="bullet"/>
      <w:lvlText w:val=""/>
      <w:lvlJc w:val="start"/>
      <w:pPr>
        <w:tabs>
          <w:tab w:val="num" w:pos="0"/>
        </w:tabs>
        <w:ind w:start="2880" w:hanging="360"/>
      </w:pPr>
      <w:rPr>
        <w:rFonts w:ascii="Symbol" w:hAnsi="Symbol" w:cs="Symbol" w:hint="default"/>
        <w:u w:val="none"/>
      </w:rPr>
    </w:lvl>
    <w:lvl w:ilvl="4">
      <w:start w:val="1"/>
      <w:numFmt w:val="bullet"/>
      <w:lvlText w:val=""/>
      <w:lvlJc w:val="start"/>
      <w:pPr>
        <w:tabs>
          <w:tab w:val="num" w:pos="0"/>
        </w:tabs>
        <w:ind w:start="3600" w:hanging="360"/>
      </w:pPr>
      <w:rPr>
        <w:rFonts w:ascii="Symbol" w:hAnsi="Symbol" w:cs="Symbol" w:hint="default"/>
        <w:u w:val="none"/>
      </w:rPr>
    </w:lvl>
    <w:lvl w:ilvl="5">
      <w:start w:val="1"/>
      <w:numFmt w:val="bullet"/>
      <w:lvlText w:val=""/>
      <w:lvlJc w:val="start"/>
      <w:pPr>
        <w:tabs>
          <w:tab w:val="num" w:pos="0"/>
        </w:tabs>
        <w:ind w:start="4320" w:hanging="360"/>
      </w:pPr>
      <w:rPr>
        <w:rFonts w:ascii="Symbol" w:hAnsi="Symbol" w:cs="Symbol" w:hint="default"/>
        <w:u w:val="none"/>
      </w:rPr>
    </w:lvl>
    <w:lvl w:ilvl="6">
      <w:start w:val="1"/>
      <w:numFmt w:val="bullet"/>
      <w:lvlText w:val=""/>
      <w:lvlJc w:val="start"/>
      <w:pPr>
        <w:tabs>
          <w:tab w:val="num" w:pos="0"/>
        </w:tabs>
        <w:ind w:start="5040" w:hanging="360"/>
      </w:pPr>
      <w:rPr>
        <w:rFonts w:ascii="Symbol" w:hAnsi="Symbol" w:cs="Symbol" w:hint="default"/>
        <w:u w:val="none"/>
      </w:rPr>
    </w:lvl>
    <w:lvl w:ilvl="7">
      <w:start w:val="1"/>
      <w:numFmt w:val="bullet"/>
      <w:lvlText w:val=""/>
      <w:lvlJc w:val="start"/>
      <w:pPr>
        <w:tabs>
          <w:tab w:val="num" w:pos="0"/>
        </w:tabs>
        <w:ind w:start="5760" w:hanging="360"/>
      </w:pPr>
      <w:rPr>
        <w:rFonts w:ascii="Symbol" w:hAnsi="Symbol" w:cs="Symbol" w:hint="default"/>
        <w:u w:val="none"/>
      </w:rPr>
    </w:lvl>
    <w:lvl w:ilvl="8">
      <w:start w:val="1"/>
      <w:numFmt w:val="bullet"/>
      <w:lvlText w:val=""/>
      <w:lvlJc w:val="start"/>
      <w:pPr>
        <w:tabs>
          <w:tab w:val="num" w:pos="0"/>
        </w:tabs>
        <w:ind w:start="6480" w:hanging="360"/>
      </w:pPr>
      <w:rPr>
        <w:rFonts w:ascii="Symbol" w:hAnsi="Symbol" w:cs="Symbol" w:hint="default"/>
        <w:u w:val="none"/>
      </w:rPr>
    </w:lvl>
  </w:abstractNum>
  <w:abstractNum w:abstractNumId="3">
    <w:lvl w:ilvl="0">
      <w:start w:val="1"/>
      <w:numFmt w:val="decimal"/>
      <w:lvlText w:val="%1."/>
      <w:lvlJc w:val="start"/>
      <w:pPr>
        <w:tabs>
          <w:tab w:val="num" w:pos="0"/>
        </w:tabs>
        <w:ind w:start="2358" w:hanging="360"/>
      </w:pPr>
      <w:rPr>
        <w:u w:val="none"/>
      </w:rPr>
    </w:lvl>
    <w:lvl w:ilvl="1">
      <w:start w:val="1"/>
      <w:numFmt w:val="lowerLetter"/>
      <w:lvlText w:val="%2."/>
      <w:lvlJc w:val="start"/>
      <w:pPr>
        <w:tabs>
          <w:tab w:val="num" w:pos="0"/>
        </w:tabs>
        <w:ind w:start="3078" w:hanging="360"/>
      </w:pPr>
      <w:rPr>
        <w:u w:val="none"/>
      </w:rPr>
    </w:lvl>
    <w:lvl w:ilvl="2">
      <w:start w:val="1"/>
      <w:numFmt w:val="lowerRoman"/>
      <w:lvlText w:val="%3."/>
      <w:lvlJc w:val="end"/>
      <w:pPr>
        <w:tabs>
          <w:tab w:val="num" w:pos="0"/>
        </w:tabs>
        <w:ind w:start="3798" w:hanging="180"/>
      </w:pPr>
      <w:rPr>
        <w:u w:val="none"/>
      </w:rPr>
    </w:lvl>
    <w:lvl w:ilvl="3">
      <w:start w:val="1"/>
      <w:numFmt w:val="decimal"/>
      <w:lvlText w:val="%4."/>
      <w:lvlJc w:val="start"/>
      <w:pPr>
        <w:tabs>
          <w:tab w:val="num" w:pos="0"/>
        </w:tabs>
        <w:ind w:start="4518" w:hanging="360"/>
      </w:pPr>
      <w:rPr>
        <w:u w:val="none"/>
      </w:rPr>
    </w:lvl>
    <w:lvl w:ilvl="4">
      <w:start w:val="1"/>
      <w:numFmt w:val="lowerLetter"/>
      <w:lvlText w:val="%5."/>
      <w:lvlJc w:val="start"/>
      <w:pPr>
        <w:tabs>
          <w:tab w:val="num" w:pos="0"/>
        </w:tabs>
        <w:ind w:start="5238" w:hanging="360"/>
      </w:pPr>
      <w:rPr>
        <w:u w:val="none"/>
      </w:rPr>
    </w:lvl>
    <w:lvl w:ilvl="5">
      <w:start w:val="1"/>
      <w:numFmt w:val="lowerRoman"/>
      <w:lvlText w:val="%6."/>
      <w:lvlJc w:val="end"/>
      <w:pPr>
        <w:tabs>
          <w:tab w:val="num" w:pos="0"/>
        </w:tabs>
        <w:ind w:start="5958" w:hanging="180"/>
      </w:pPr>
      <w:rPr>
        <w:u w:val="none"/>
      </w:rPr>
    </w:lvl>
    <w:lvl w:ilvl="6">
      <w:start w:val="1"/>
      <w:numFmt w:val="decimal"/>
      <w:lvlText w:val="%7."/>
      <w:lvlJc w:val="start"/>
      <w:pPr>
        <w:tabs>
          <w:tab w:val="num" w:pos="0"/>
        </w:tabs>
        <w:ind w:start="6678" w:hanging="360"/>
      </w:pPr>
      <w:rPr>
        <w:u w:val="none"/>
      </w:rPr>
    </w:lvl>
    <w:lvl w:ilvl="7">
      <w:start w:val="1"/>
      <w:numFmt w:val="lowerLetter"/>
      <w:lvlText w:val="%8."/>
      <w:lvlJc w:val="start"/>
      <w:pPr>
        <w:tabs>
          <w:tab w:val="num" w:pos="0"/>
        </w:tabs>
        <w:ind w:start="7398" w:hanging="360"/>
      </w:pPr>
      <w:rPr>
        <w:u w:val="none"/>
      </w:rPr>
    </w:lvl>
    <w:lvl w:ilvl="8">
      <w:start w:val="1"/>
      <w:numFmt w:val="lowerRoman"/>
      <w:lvlText w:val="%9."/>
      <w:lvlJc w:val="end"/>
      <w:pPr>
        <w:tabs>
          <w:tab w:val="num" w:pos="0"/>
        </w:tabs>
        <w:ind w:start="8118" w:hanging="180"/>
      </w:pPr>
      <w:rPr>
        <w:u w:val="none"/>
      </w:rPr>
    </w:lvl>
  </w:abstractNum>
  <w:abstractNum w:abstractNumId="4">
    <w:lvl w:ilvl="0">
      <w:start w:val="65"/>
      <w:numFmt w:val="bullet"/>
      <w:lvlText w:val="-"/>
      <w:lvlJc w:val="start"/>
      <w:pPr>
        <w:tabs>
          <w:tab w:val="num" w:pos="0"/>
        </w:tabs>
        <w:ind w:start="720" w:hanging="360"/>
      </w:pPr>
      <w:rPr>
        <w:rFonts w:ascii="OpenSymbol" w:hAnsi="OpenSymbol" w:cs="OpenSymbol" w:hint="default"/>
        <w:u w:val="none"/>
      </w:rPr>
    </w:lvl>
    <w:lvl w:ilvl="1">
      <w:start w:val="1"/>
      <w:numFmt w:val="bullet"/>
      <w:lvlText w:val="o"/>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o"/>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o"/>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18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18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180"/>
      </w:pPr>
      <w:rPr>
        <w:u w:val="none"/>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39e5"/>
    <w:pPr>
      <w:widowControl/>
      <w:suppressAutoHyphens w:val="true"/>
      <w:bidi w:val="0"/>
      <w:spacing w:lineRule="auto" w:line="276" w:before="0" w:after="0"/>
      <w:jc w:val="start"/>
    </w:pPr>
    <w:rPr>
      <w:rFonts w:ascii="Arial" w:hAnsi="Arial" w:eastAsia="Arial" w:cs="Arial"/>
      <w:color w:val="auto"/>
      <w:kern w:val="0"/>
      <w:sz w:val="22"/>
      <w:szCs w:val="22"/>
      <w:lang w:val="en-GB"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a7309b"/>
    <w:rPr>
      <w:rFonts w:ascii="Times New Roman" w:hAnsi="Times New Roman" w:eastAsia="Times New Roman" w:cs="Times New Roman"/>
      <w:sz w:val="28"/>
      <w:szCs w:val="28"/>
      <w:lang w:val="vi-V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Footer">
    <w:name w:val="footer"/>
    <w:basedOn w:val="Normal"/>
    <w:link w:val="FooterChar"/>
    <w:uiPriority w:val="99"/>
    <w:rsid w:val="00a7309b"/>
    <w:pPr>
      <w:widowControl w:val="false"/>
      <w:tabs>
        <w:tab w:val="clear" w:pos="720"/>
        <w:tab w:val="center" w:pos="4320" w:leader="none"/>
        <w:tab w:val="right" w:pos="8640" w:leader="none"/>
      </w:tabs>
      <w:spacing w:lineRule="auto" w:line="240"/>
    </w:pPr>
    <w:rPr>
      <w:rFonts w:ascii="Times New Roman" w:hAnsi="Times New Roman" w:eastAsia="Times New Roman" w:cs="Times New Roman"/>
      <w:sz w:val="28"/>
      <w:szCs w:val="28"/>
      <w:lang w:val="vi-VN"/>
    </w:rPr>
  </w:style>
  <w:style w:type="paragraph" w:styleId="ListParagraph">
    <w:name w:val="List Paragraph"/>
    <w:basedOn w:val="Normal"/>
    <w:uiPriority w:val="34"/>
    <w:qFormat/>
    <w:rsid w:val="00a7309b"/>
    <w:pPr>
      <w:spacing w:lineRule="auto" w:line="240"/>
      <w:ind w:start="720"/>
    </w:pPr>
    <w:rPr>
      <w:rFonts w:ascii="Times New Roman" w:hAnsi="Times New Roman" w:eastAsia="Times New Roman" w:cs="Times New Roman"/>
      <w:sz w:val="24"/>
      <w:szCs w:val="24"/>
      <w:lang w:val="vi-VN" w:eastAsia="ja-JP"/>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mailto:htthuong@hcmiu.edu.vn" TargetMode="External"/><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4AB45-8A18-4F10-8B31-00B8E793D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Application>LibreOffice/25.8.5.2$Linux_X86_64 LibreOffice_project/580$Build-2</Application>
  <AppVersion>15.0000</AppVersion>
  <Pages>8</Pages>
  <Words>2273</Words>
  <Characters>8299</Characters>
  <CharactersWithSpaces>10384</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2026-03-13T02:00:00Z</dcterms:created>
  <dc:creator>Vinh Lê</dc:creator>
  <dc:description/>
  <dc:language>en-US</dc:language>
  <cp:lastModifiedBy/>
  <dcterms:modified xsi:type="dcterms:W3CDTF">2026-03-26T15:04:48Z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