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A19" w:rsidRDefault="00333A19">
      <w:pPr>
        <w:tabs>
          <w:tab w:val="left" w:pos="1134"/>
          <w:tab w:val="left" w:pos="1701"/>
        </w:tabs>
      </w:pPr>
    </w:p>
    <w:p w:rsidR="00705974" w:rsidRDefault="00705974">
      <w:pPr>
        <w:tabs>
          <w:tab w:val="left" w:pos="1134"/>
          <w:tab w:val="left" w:pos="1701"/>
        </w:tabs>
      </w:pPr>
    </w:p>
    <w:p w:rsidR="00705974" w:rsidRDefault="00705974">
      <w:pPr>
        <w:tabs>
          <w:tab w:val="left" w:pos="1134"/>
          <w:tab w:val="left" w:pos="1701"/>
        </w:tabs>
      </w:pPr>
    </w:p>
    <w:p w:rsidR="00333A19" w:rsidRDefault="00333A19">
      <w:pPr>
        <w:pStyle w:val="BodyText"/>
      </w:pPr>
    </w:p>
    <w:p w:rsidR="00333A19" w:rsidRDefault="006A14FB">
      <w:pPr>
        <w:pStyle w:val="berschrift"/>
      </w:pPr>
      <w:r>
        <w:t>Automatisches Auflösen von Selbstschneidungen in zweidimensionalen Polygonen für ein CSG System</w:t>
      </w:r>
    </w:p>
    <w:p w:rsidR="00333A19" w:rsidRDefault="00333A19">
      <w:pPr>
        <w:pStyle w:val="BodyText"/>
      </w:pPr>
    </w:p>
    <w:p w:rsidR="00333A19" w:rsidRDefault="00333A19">
      <w:pPr>
        <w:pStyle w:val="BodyText"/>
        <w:jc w:val="center"/>
      </w:pPr>
      <w:r>
        <w:t>(Diplom-)Hausarbeit</w:t>
      </w:r>
    </w:p>
    <w:p w:rsidR="00333A19" w:rsidRDefault="00333A19">
      <w:pPr>
        <w:pStyle w:val="BodyText"/>
        <w:jc w:val="center"/>
      </w:pPr>
    </w:p>
    <w:p w:rsidR="00333A19" w:rsidRDefault="00333A19">
      <w:pPr>
        <w:pStyle w:val="BodyText"/>
        <w:jc w:val="center"/>
      </w:pPr>
      <w:r>
        <w:t>an der</w:t>
      </w:r>
    </w:p>
    <w:p w:rsidR="00333A19" w:rsidRDefault="00333A19">
      <w:pPr>
        <w:pStyle w:val="BodyText"/>
        <w:jc w:val="center"/>
      </w:pPr>
    </w:p>
    <w:p w:rsidR="00333A19" w:rsidRDefault="00333A19">
      <w:pPr>
        <w:pStyle w:val="BodyText"/>
        <w:jc w:val="center"/>
      </w:pPr>
      <w:r>
        <w:t>Verwaltungs- und Wirtschafts-Akademie in Leer e.V.</w:t>
      </w:r>
    </w:p>
    <w:p w:rsidR="00333A19" w:rsidRDefault="00333A19">
      <w:pPr>
        <w:pStyle w:val="BodyText"/>
        <w:jc w:val="center"/>
      </w:pPr>
    </w:p>
    <w:p w:rsidR="00333A19" w:rsidRDefault="00333A19">
      <w:pPr>
        <w:pStyle w:val="BodyText"/>
        <w:jc w:val="center"/>
      </w:pPr>
      <w:r>
        <w:t>von</w:t>
      </w:r>
    </w:p>
    <w:p w:rsidR="00333A19" w:rsidRDefault="00333A19">
      <w:pPr>
        <w:pStyle w:val="BodyText"/>
        <w:jc w:val="center"/>
      </w:pPr>
    </w:p>
    <w:p w:rsidR="00333A19" w:rsidRDefault="006A14FB">
      <w:pPr>
        <w:pStyle w:val="BodyText"/>
        <w:jc w:val="center"/>
      </w:pPr>
      <w:r>
        <w:t>Heiko Alexander Weber</w:t>
      </w:r>
    </w:p>
    <w:p w:rsidR="00333A19" w:rsidRDefault="00333A19">
      <w:pPr>
        <w:pStyle w:val="BodyText"/>
        <w:jc w:val="center"/>
      </w:pPr>
    </w:p>
    <w:p w:rsidR="00333A19" w:rsidRDefault="006A14FB">
      <w:pPr>
        <w:pStyle w:val="BodyText"/>
        <w:jc w:val="center"/>
      </w:pPr>
      <w:r>
        <w:t>Leer, Groninger Str.</w:t>
      </w: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r>
        <w:t>Betreuung:</w:t>
      </w:r>
    </w:p>
    <w:p w:rsidR="00333A19" w:rsidRDefault="00333A19">
      <w:pPr>
        <w:pStyle w:val="BodyText"/>
        <w:jc w:val="center"/>
      </w:pPr>
    </w:p>
    <w:p w:rsidR="00333A19" w:rsidRDefault="006A14FB">
      <w:pPr>
        <w:pStyle w:val="BodyText"/>
        <w:jc w:val="center"/>
      </w:pPr>
      <w:r>
        <w:t>Prof. Dr. Thorsten Spitta</w:t>
      </w:r>
    </w:p>
    <w:p w:rsidR="00A913B1" w:rsidRDefault="006A14FB">
      <w:pPr>
        <w:pStyle w:val="BodyText"/>
        <w:jc w:val="center"/>
      </w:pPr>
      <w:r>
        <w:t>201</w:t>
      </w:r>
      <w:r w:rsidR="00A913B1">
        <w:t>7</w:t>
      </w:r>
    </w:p>
    <w:p w:rsidR="00333A19" w:rsidRDefault="00333A19">
      <w:pPr>
        <w:pStyle w:val="BodyText"/>
        <w:jc w:val="center"/>
      </w:pPr>
      <w:r>
        <w:t>&gt;</w:t>
      </w:r>
    </w:p>
    <w:p w:rsidR="00333A19" w:rsidRDefault="00333A19">
      <w:pPr>
        <w:pStyle w:val="BodyText"/>
        <w:jc w:val="center"/>
      </w:pPr>
    </w:p>
    <w:p w:rsidR="00333A19" w:rsidRDefault="00333A19">
      <w:pPr>
        <w:pStyle w:val="BodyText"/>
      </w:pPr>
    </w:p>
    <w:p w:rsidR="00333A19" w:rsidRDefault="00333A19">
      <w:pPr>
        <w:pStyle w:val="BodyText"/>
      </w:pPr>
    </w:p>
    <w:p w:rsidR="00333A19" w:rsidRDefault="00333A19">
      <w:pPr>
        <w:pStyle w:val="BodyText"/>
      </w:pPr>
    </w:p>
    <w:p w:rsidR="00333A19" w:rsidRDefault="00333A19">
      <w:pPr>
        <w:sectPr w:rsidR="00333A19">
          <w:footerReference w:type="default" r:id="rId8"/>
          <w:pgSz w:w="11906" w:h="16838"/>
          <w:pgMar w:top="1417" w:right="1417" w:bottom="1643" w:left="1417" w:header="720" w:footer="1134" w:gutter="0"/>
          <w:cols w:space="720"/>
        </w:sectPr>
      </w:pPr>
    </w:p>
    <w:p w:rsidR="00A913B1" w:rsidRPr="004D2B3E" w:rsidRDefault="00A913B1">
      <w:pPr>
        <w:pStyle w:val="TOCHeading"/>
        <w:rPr>
          <w:lang w:val="de-DE"/>
        </w:rPr>
      </w:pPr>
      <w:r w:rsidRPr="004D2B3E">
        <w:rPr>
          <w:lang w:val="de-DE"/>
        </w:rPr>
        <w:lastRenderedPageBreak/>
        <w:t>Inhalt</w:t>
      </w:r>
    </w:p>
    <w:p w:rsidR="00A913B1" w:rsidRPr="00A913B1" w:rsidRDefault="00A913B1">
      <w:pPr>
        <w:pStyle w:val="TOC1"/>
        <w:rPr>
          <w:rFonts w:ascii="Calibri" w:eastAsia="Times New Roman" w:hAnsi="Calibri" w:cs="Times New Roman"/>
          <w:noProof/>
          <w:sz w:val="22"/>
          <w:szCs w:val="22"/>
        </w:rPr>
      </w:pPr>
      <w:r>
        <w:fldChar w:fldCharType="begin"/>
      </w:r>
      <w:r>
        <w:instrText xml:space="preserve"> TOC \o "1-3" \h \z \u </w:instrText>
      </w:r>
      <w:r>
        <w:fldChar w:fldCharType="separate"/>
      </w:r>
      <w:hyperlink w:anchor="_Toc491877620" w:history="1">
        <w:r w:rsidRPr="004B4215">
          <w:rPr>
            <w:rStyle w:val="Hyperlink"/>
            <w:noProof/>
          </w:rPr>
          <w:t>1 Überschrift1</w:t>
        </w:r>
        <w:r>
          <w:rPr>
            <w:noProof/>
            <w:webHidden/>
          </w:rPr>
          <w:tab/>
        </w:r>
        <w:r>
          <w:rPr>
            <w:noProof/>
            <w:webHidden/>
          </w:rPr>
          <w:fldChar w:fldCharType="begin"/>
        </w:r>
        <w:r>
          <w:rPr>
            <w:noProof/>
            <w:webHidden/>
          </w:rPr>
          <w:instrText xml:space="preserve"> PAGEREF _Toc491877620 \h </w:instrText>
        </w:r>
        <w:r>
          <w:rPr>
            <w:noProof/>
            <w:webHidden/>
          </w:rPr>
        </w:r>
        <w:r>
          <w:rPr>
            <w:noProof/>
            <w:webHidden/>
          </w:rPr>
          <w:fldChar w:fldCharType="separate"/>
        </w:r>
        <w:r>
          <w:rPr>
            <w:noProof/>
            <w:webHidden/>
          </w:rPr>
          <w:t>3</w:t>
        </w:r>
        <w:r>
          <w:rPr>
            <w:noProof/>
            <w:webHidden/>
          </w:rPr>
          <w:fldChar w:fldCharType="end"/>
        </w:r>
      </w:hyperlink>
    </w:p>
    <w:p w:rsidR="00A913B1" w:rsidRPr="00A913B1" w:rsidRDefault="00ED6AD9">
      <w:pPr>
        <w:pStyle w:val="TOC2"/>
        <w:rPr>
          <w:rFonts w:ascii="Calibri" w:eastAsia="Times New Roman" w:hAnsi="Calibri" w:cs="Times New Roman"/>
          <w:noProof/>
          <w:sz w:val="22"/>
          <w:szCs w:val="22"/>
        </w:rPr>
      </w:pPr>
      <w:hyperlink w:anchor="_Toc491877621" w:history="1">
        <w:r w:rsidR="00A913B1" w:rsidRPr="004B4215">
          <w:rPr>
            <w:rStyle w:val="Hyperlink"/>
            <w:noProof/>
          </w:rPr>
          <w:t>1.1 Überschrift2</w:t>
        </w:r>
        <w:r w:rsidR="00A913B1">
          <w:rPr>
            <w:noProof/>
            <w:webHidden/>
          </w:rPr>
          <w:tab/>
        </w:r>
        <w:r w:rsidR="00A913B1">
          <w:rPr>
            <w:noProof/>
            <w:webHidden/>
          </w:rPr>
          <w:fldChar w:fldCharType="begin"/>
        </w:r>
        <w:r w:rsidR="00A913B1">
          <w:rPr>
            <w:noProof/>
            <w:webHidden/>
          </w:rPr>
          <w:instrText xml:space="preserve"> PAGEREF _Toc491877621 \h </w:instrText>
        </w:r>
        <w:r w:rsidR="00A913B1">
          <w:rPr>
            <w:noProof/>
            <w:webHidden/>
          </w:rPr>
        </w:r>
        <w:r w:rsidR="00A913B1">
          <w:rPr>
            <w:noProof/>
            <w:webHidden/>
          </w:rPr>
          <w:fldChar w:fldCharType="separate"/>
        </w:r>
        <w:r w:rsidR="00A913B1">
          <w:rPr>
            <w:noProof/>
            <w:webHidden/>
          </w:rPr>
          <w:t>3</w:t>
        </w:r>
        <w:r w:rsidR="00A913B1">
          <w:rPr>
            <w:noProof/>
            <w:webHidden/>
          </w:rPr>
          <w:fldChar w:fldCharType="end"/>
        </w:r>
      </w:hyperlink>
    </w:p>
    <w:p w:rsidR="00A913B1" w:rsidRPr="00A913B1" w:rsidRDefault="00ED6AD9">
      <w:pPr>
        <w:pStyle w:val="TOC3"/>
        <w:rPr>
          <w:rFonts w:ascii="Calibri" w:eastAsia="Times New Roman" w:hAnsi="Calibri" w:cs="Times New Roman"/>
          <w:noProof/>
          <w:sz w:val="22"/>
          <w:szCs w:val="22"/>
        </w:rPr>
      </w:pPr>
      <w:hyperlink w:anchor="_Toc491877622" w:history="1">
        <w:r w:rsidR="00A913B1" w:rsidRPr="004B4215">
          <w:rPr>
            <w:rStyle w:val="Hyperlink"/>
            <w:noProof/>
          </w:rPr>
          <w:t>1.1.1 Überschrift3</w:t>
        </w:r>
        <w:r w:rsidR="00A913B1">
          <w:rPr>
            <w:noProof/>
            <w:webHidden/>
          </w:rPr>
          <w:tab/>
        </w:r>
        <w:r w:rsidR="00A913B1">
          <w:rPr>
            <w:noProof/>
            <w:webHidden/>
          </w:rPr>
          <w:fldChar w:fldCharType="begin"/>
        </w:r>
        <w:r w:rsidR="00A913B1">
          <w:rPr>
            <w:noProof/>
            <w:webHidden/>
          </w:rPr>
          <w:instrText xml:space="preserve"> PAGEREF _Toc491877622 \h </w:instrText>
        </w:r>
        <w:r w:rsidR="00A913B1">
          <w:rPr>
            <w:noProof/>
            <w:webHidden/>
          </w:rPr>
        </w:r>
        <w:r w:rsidR="00A913B1">
          <w:rPr>
            <w:noProof/>
            <w:webHidden/>
          </w:rPr>
          <w:fldChar w:fldCharType="separate"/>
        </w:r>
        <w:r w:rsidR="00A913B1">
          <w:rPr>
            <w:noProof/>
            <w:webHidden/>
          </w:rPr>
          <w:t>3</w:t>
        </w:r>
        <w:r w:rsidR="00A913B1">
          <w:rPr>
            <w:noProof/>
            <w:webHidden/>
          </w:rPr>
          <w:fldChar w:fldCharType="end"/>
        </w:r>
      </w:hyperlink>
    </w:p>
    <w:p w:rsidR="00A913B1" w:rsidRPr="00A913B1" w:rsidRDefault="00ED6AD9">
      <w:pPr>
        <w:pStyle w:val="TOC1"/>
        <w:rPr>
          <w:rFonts w:ascii="Calibri" w:eastAsia="Times New Roman" w:hAnsi="Calibri" w:cs="Times New Roman"/>
          <w:noProof/>
          <w:sz w:val="22"/>
          <w:szCs w:val="22"/>
        </w:rPr>
      </w:pPr>
      <w:hyperlink w:anchor="_Toc491877623" w:history="1">
        <w:r w:rsidR="00A913B1" w:rsidRPr="004B4215">
          <w:rPr>
            <w:rStyle w:val="Hyperlink"/>
            <w:noProof/>
          </w:rPr>
          <w:t>Literatur &lt;Typ Überschrift1; mit Löschtaste_links Nummer entfernt&gt;</w:t>
        </w:r>
        <w:r w:rsidR="00A913B1">
          <w:rPr>
            <w:noProof/>
            <w:webHidden/>
          </w:rPr>
          <w:tab/>
        </w:r>
        <w:r w:rsidR="00A913B1">
          <w:rPr>
            <w:noProof/>
            <w:webHidden/>
          </w:rPr>
          <w:fldChar w:fldCharType="begin"/>
        </w:r>
        <w:r w:rsidR="00A913B1">
          <w:rPr>
            <w:noProof/>
            <w:webHidden/>
          </w:rPr>
          <w:instrText xml:space="preserve"> PAGEREF _Toc491877623 \h </w:instrText>
        </w:r>
        <w:r w:rsidR="00A913B1">
          <w:rPr>
            <w:noProof/>
            <w:webHidden/>
          </w:rPr>
        </w:r>
        <w:r w:rsidR="00A913B1">
          <w:rPr>
            <w:noProof/>
            <w:webHidden/>
          </w:rPr>
          <w:fldChar w:fldCharType="separate"/>
        </w:r>
        <w:r w:rsidR="00A913B1">
          <w:rPr>
            <w:noProof/>
            <w:webHidden/>
          </w:rPr>
          <w:t>4</w:t>
        </w:r>
        <w:r w:rsidR="00A913B1">
          <w:rPr>
            <w:noProof/>
            <w:webHidden/>
          </w:rPr>
          <w:fldChar w:fldCharType="end"/>
        </w:r>
      </w:hyperlink>
    </w:p>
    <w:p w:rsidR="00A913B1" w:rsidRDefault="00A913B1">
      <w:r>
        <w:rPr>
          <w:b/>
          <w:bCs/>
          <w:noProof/>
        </w:rPr>
        <w:fldChar w:fldCharType="end"/>
      </w:r>
    </w:p>
    <w:p w:rsidR="00333A19" w:rsidRDefault="00333A19">
      <w:pPr>
        <w:pStyle w:val="BodyText"/>
        <w:pageBreakBefore/>
        <w:sectPr w:rsidR="00333A19">
          <w:headerReference w:type="default" r:id="rId9"/>
          <w:footerReference w:type="even" r:id="rId10"/>
          <w:footerReference w:type="default" r:id="rId11"/>
          <w:headerReference w:type="first" r:id="rId12"/>
          <w:footerReference w:type="first" r:id="rId13"/>
          <w:pgSz w:w="11906" w:h="16838"/>
          <w:pgMar w:top="2152" w:right="1417" w:bottom="1643" w:left="1417" w:header="1417" w:footer="1134" w:gutter="0"/>
          <w:cols w:space="720"/>
        </w:sectPr>
      </w:pPr>
    </w:p>
    <w:p w:rsidR="00333A19" w:rsidRDefault="00FF4417">
      <w:pPr>
        <w:pStyle w:val="Heading1"/>
        <w:pageBreakBefore/>
        <w:tabs>
          <w:tab w:val="left" w:pos="0"/>
        </w:tabs>
      </w:pPr>
      <w:r>
        <w:lastRenderedPageBreak/>
        <w:t>Abstrakt</w:t>
      </w:r>
    </w:p>
    <w:p w:rsidR="00333A19" w:rsidRDefault="009006A9">
      <w:pPr>
        <w:pStyle w:val="BodyText"/>
      </w:pPr>
      <w:r w:rsidRPr="009006A9">
        <w:t xml:space="preserve">Diese Arbeit findet im Rahmen des Studiengangs 16 and der VWA-Leer unter Betreuung von Prof. Dr. Spitta (Uni-Bielefeld) als Hausarbeit statt. Hierbei handelt es sich um eine Vorstudie zu dem </w:t>
      </w:r>
      <w:r>
        <w:t>„Automatisches Auflösen von Selbstschneidungen in zweidimensionalen Polygonen für ein CSG System“</w:t>
      </w:r>
      <w:r w:rsidR="00333A19">
        <w:t xml:space="preserve"> </w:t>
      </w:r>
      <w:r>
        <w:t>.</w:t>
      </w:r>
    </w:p>
    <w:p w:rsidR="00333A19" w:rsidRDefault="009006A9" w:rsidP="009006A9">
      <w:pPr>
        <w:pStyle w:val="Heading1"/>
      </w:pPr>
      <w:bookmarkStart w:id="0" w:name="_Ref491879689"/>
      <w:r>
        <w:t>Einleitung und Zieldefinition</w:t>
      </w:r>
      <w:bookmarkEnd w:id="0"/>
    </w:p>
    <w:p w:rsidR="00333A19" w:rsidRDefault="009006A9">
      <w:pPr>
        <w:pStyle w:val="BodyText"/>
      </w:pPr>
      <w:r>
        <w:t xml:space="preserve">Ein bekanntes Problem bei sogenannten „CSG Systemen“, was für „Constructive Solid Geometry“ steht, ist die Verwendung eines sich selbst schneidenden planaren Polygonen (im </w:t>
      </w:r>
      <w:r w:rsidRPr="004D3863">
        <w:rPr>
          <w:i/>
        </w:rPr>
        <w:t>R</w:t>
      </w:r>
      <w:r w:rsidRPr="004D3863">
        <w:rPr>
          <w:i/>
          <w:vertAlign w:val="superscript"/>
        </w:rPr>
        <w:t>2</w:t>
      </w:r>
      <w:r>
        <w:rPr>
          <w:vertAlign w:val="superscript"/>
        </w:rPr>
        <w:t xml:space="preserve"> </w:t>
      </w:r>
      <w:r>
        <w:t>Raum) für weitere Berechnungen oder kinematische Operationen</w:t>
      </w:r>
      <w:r w:rsidR="007278EC">
        <w:t xml:space="preserve"> (wie Extrusionen)</w:t>
      </w:r>
      <w:r>
        <w:t>.</w:t>
      </w:r>
      <w:r w:rsidR="0029299E">
        <w:t xml:space="preserve"> Diesem Problem ist bereits eine Menge an Literatur gewidmen. In diesem Kontext stellen die genannten Polygone die originären Daten dar.</w:t>
      </w:r>
    </w:p>
    <w:p w:rsidR="0029299E" w:rsidRDefault="0029299E">
      <w:pPr>
        <w:pStyle w:val="BodyText"/>
      </w:pPr>
      <w:r>
        <w:t>Diese Arbeit hat die Entwicklung eines Algorithmus bei dem die Integrität dieser originären Daten, unter dem Aspekt der Selbstschneidung, sichergestellt bzw. wieder hergestellt wird zum Ziel.</w:t>
      </w:r>
      <w:bookmarkStart w:id="1" w:name="_GoBack"/>
      <w:bookmarkEnd w:id="1"/>
    </w:p>
    <w:p w:rsidR="004D3863" w:rsidRDefault="004D3863">
      <w:pPr>
        <w:widowControl/>
        <w:jc w:val="left"/>
      </w:pPr>
      <w:r>
        <w:br w:type="page"/>
      </w:r>
    </w:p>
    <w:p w:rsidR="00333A19" w:rsidRDefault="00830A01" w:rsidP="00830A01">
      <w:pPr>
        <w:pStyle w:val="Heading1"/>
      </w:pPr>
      <w:r>
        <w:lastRenderedPageBreak/>
        <w:t xml:space="preserve">Betriebswirtschaftlicher </w:t>
      </w:r>
      <w:r w:rsidR="00EA14C8">
        <w:t>Aspekt</w:t>
      </w:r>
    </w:p>
    <w:p w:rsidR="00CB44C4" w:rsidRDefault="00CB44C4" w:rsidP="0045550A">
      <w:pPr>
        <w:pStyle w:val="BodyText"/>
      </w:pPr>
      <w:r>
        <w:t>Die ORGADATA AG hat in der Vergangenheit bereits Vorkommnisse des in „</w:t>
      </w:r>
      <w:r>
        <w:fldChar w:fldCharType="begin"/>
      </w:r>
      <w:r>
        <w:instrText xml:space="preserve"> REF _Ref491879689 \h </w:instrText>
      </w:r>
      <w:r>
        <w:fldChar w:fldCharType="separate"/>
      </w:r>
      <w:r>
        <w:t>Einleitung und Zieldefinition</w:t>
      </w:r>
      <w:r>
        <w:fldChar w:fldCharType="end"/>
      </w:r>
      <w:r>
        <w:t xml:space="preserve">“ genannten Problems verzeichnet. Eine Lösung dieses Problems würde an der Stelle der Verwendung der originären Daten, zum </w:t>
      </w:r>
      <w:r w:rsidR="004D3863">
        <w:t>Er</w:t>
      </w:r>
      <w:r>
        <w:t xml:space="preserve">zeugen abgeleiteter Daten (Gitternetzgeometrien im </w:t>
      </w:r>
      <w:r w:rsidRPr="004D3863">
        <w:rPr>
          <w:i/>
        </w:rPr>
        <w:t>R</w:t>
      </w:r>
      <w:r w:rsidRPr="004D3863">
        <w:rPr>
          <w:i/>
          <w:vertAlign w:val="superscript"/>
        </w:rPr>
        <w:t>3</w:t>
      </w:r>
      <w:r>
        <w:t xml:space="preserve"> Raum) einen zu hohen Aufwand </w:t>
      </w:r>
      <w:r w:rsidR="004D2B3E">
        <w:t>erfordern</w:t>
      </w:r>
      <w:r>
        <w:t>. Zusätzlich wäre dies nur eine Korrektur eines Symptoms</w:t>
      </w:r>
      <w:r w:rsidR="00EA14C8">
        <w:t xml:space="preserve"> und somit eine Verlagerung bzw. Verschleierung des Problems</w:t>
      </w:r>
      <w:r>
        <w:t>. Da dieses System, wie die meisten anderen, nach dem „</w:t>
      </w:r>
      <w:r w:rsidRPr="004D2B3E">
        <w:rPr>
          <w:i/>
        </w:rPr>
        <w:t>GiGo</w:t>
      </w:r>
      <w:r w:rsidR="00334EAE">
        <w:rPr>
          <w:rStyle w:val="FootnoteReference"/>
        </w:rPr>
        <w:footnoteReference w:id="1"/>
      </w:r>
      <w:r>
        <w:t>“ Prinzip arbeitet</w:t>
      </w:r>
      <w:r w:rsidR="00EA14C8">
        <w:t>, führt eine Injizierung falscher Eingabeparameter zu einem falschen Ergebnis, im schlimmsten Fall sogar zu einem nicht definierten Ergebnis.</w:t>
      </w:r>
    </w:p>
    <w:p w:rsidR="00EA14C8" w:rsidRDefault="00EA14C8" w:rsidP="0045550A">
      <w:pPr>
        <w:pStyle w:val="BodyText"/>
      </w:pPr>
      <w:r>
        <w:t>Momentan wird dieses Problem von der Abteilung</w:t>
      </w:r>
      <w:r w:rsidR="004D2B3E">
        <w:t>,</w:t>
      </w:r>
      <w:r>
        <w:t xml:space="preserve"> welche die </w:t>
      </w:r>
      <w:r w:rsidR="004D2B3E">
        <w:t>entsprechenden originären Daten</w:t>
      </w:r>
      <w:r>
        <w:t xml:space="preserve"> erfasst, gelöst in dem die Zeichnungen manuell auf Integrität überprüft und ggf. korrigiert werden. Dies ist aufgrund der massiven Datenmenge (mehrere zig</w:t>
      </w:r>
      <w:r w:rsidR="004D2B3E">
        <w:t xml:space="preserve"> </w:t>
      </w:r>
      <w:r>
        <w:t>tausend Zeichnungen) und der Tatsache, dass diese Überprüfung und Korrektur nur im bereits aufgetretenen Fehlerfall erfolgt, nicht sinnvoll. Ein weiterer Aspekt hierbei sind die Kosten, die das manuelle überprüfen bzw. korrigieren verursacht. Es sei folgende Beispielrechnung gegeben:</w:t>
      </w:r>
    </w:p>
    <w:p w:rsidR="000B410D" w:rsidRDefault="00EA14C8" w:rsidP="0045550A">
      <w:pPr>
        <w:pStyle w:val="BodyText"/>
      </w:pPr>
      <w:r>
        <w:t xml:space="preserve">Ein Mitarbeiter </w:t>
      </w:r>
      <w:r>
        <w:rPr>
          <w:i/>
        </w:rPr>
        <w:t>e</w:t>
      </w:r>
      <w:r>
        <w:t xml:space="preserve">, verantwortlich für die Erfassung originärer Daten, überprüft und korrigiert eine Menge an Zeichnungen </w:t>
      </w:r>
      <w:r>
        <w:rPr>
          <w:i/>
        </w:rPr>
        <w:t>d</w:t>
      </w:r>
      <w:r>
        <w:t xml:space="preserve"> pro Monat, bei welchen durchschnittlich ein Zeitaufwand </w:t>
      </w:r>
      <w:r>
        <w:rPr>
          <w:i/>
        </w:rPr>
        <w:t>h</w:t>
      </w:r>
      <w:r w:rsidR="000B410D">
        <w:t xml:space="preserve"> </w:t>
      </w:r>
      <w:r w:rsidR="004D2B3E">
        <w:t xml:space="preserve">pro Einheit </w:t>
      </w:r>
      <w:r w:rsidR="000B410D">
        <w:t>notwendig ist</w:t>
      </w:r>
      <w:r>
        <w:t xml:space="preserve">. Genannter Mitarbeiter verursacht der ORGADATA AG monatlich </w:t>
      </w:r>
      <w:r w:rsidR="000B410D">
        <w:t xml:space="preserve">Kosten </w:t>
      </w:r>
      <w:r w:rsidR="000B410D">
        <w:rPr>
          <w:i/>
        </w:rPr>
        <w:t>k</w:t>
      </w:r>
      <w:r w:rsidR="000B410D">
        <w:t>, bei einer Gesamtarbeitszeit (</w:t>
      </w:r>
      <w:r w:rsidR="000B410D" w:rsidRPr="000B410D">
        <w:rPr>
          <w:i/>
        </w:rPr>
        <w:t>H</w:t>
      </w:r>
      <w:r w:rsidR="000B410D">
        <w:t>) pro Monat.</w:t>
      </w:r>
    </w:p>
    <w:p w:rsidR="000B410D" w:rsidRDefault="000B410D" w:rsidP="0045550A">
      <w:pPr>
        <w:pStyle w:val="BodyText"/>
      </w:pPr>
      <w:r>
        <w:t>Folgende Kosten fallen pro Mitarbeiter monatlich zur Bearbeitung dieser Sache an:</w:t>
      </w:r>
    </w:p>
    <w:bookmarkStart w:id="2" w:name="eq_economy_manual_drawing_repair_costs"/>
    <w:bookmarkEnd w:id="2"/>
    <w:p w:rsidR="000B410D" w:rsidRDefault="00ED6AD9" w:rsidP="000B410D">
      <w:pPr>
        <w:pStyle w:val="BodyText"/>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 </m:t>
          </m:r>
          <m:f>
            <m:fPr>
              <m:ctrlPr>
                <w:rPr>
                  <w:rFonts w:ascii="Cambria Math" w:hAnsi="Cambria Math"/>
                  <w:i/>
                </w:rPr>
              </m:ctrlPr>
            </m:fPr>
            <m:num>
              <m:r>
                <w:rPr>
                  <w:rFonts w:ascii="Cambria Math" w:hAnsi="Cambria Math"/>
                </w:rPr>
                <m:t>k</m:t>
              </m:r>
            </m:num>
            <m:den>
              <m:r>
                <w:rPr>
                  <w:rFonts w:ascii="Cambria Math" w:hAnsi="Cambria Math"/>
                </w:rPr>
                <m:t>H</m:t>
              </m:r>
            </m:den>
          </m:f>
          <m:r>
            <w:rPr>
              <w:rFonts w:ascii="Cambria Math" w:hAnsi="Cambria Math"/>
            </w:rPr>
            <m:t>dh</m:t>
          </m:r>
        </m:oMath>
      </m:oMathPara>
    </w:p>
    <w:p w:rsidR="000B410D" w:rsidRDefault="00190E31" w:rsidP="000B410D">
      <w:pPr>
        <w:pStyle w:val="BodyText"/>
        <w:jc w:val="left"/>
      </w:pPr>
      <w:r>
        <w:t xml:space="preserve">Unter der Annahme </w:t>
      </w:r>
      <w:r w:rsidR="004D2B3E" w:rsidRPr="004D2B3E">
        <w:rPr>
          <w:i/>
        </w:rPr>
        <w:t>beispielhaft</w:t>
      </w:r>
      <w:r>
        <w:rPr>
          <w:i/>
        </w:rPr>
        <w:t xml:space="preserve"> angelehnter</w:t>
      </w:r>
      <w:r w:rsidR="004D2B3E" w:rsidRPr="004D2B3E">
        <w:rPr>
          <w:i/>
        </w:rPr>
        <w:t xml:space="preserve"> Werte</w:t>
      </w:r>
      <w:r w:rsidR="004D2B3E">
        <w:rPr>
          <w:rStyle w:val="FootnoteReference"/>
        </w:rPr>
        <w:footnoteReference w:id="2"/>
      </w:r>
      <w:r>
        <w:t xml:space="preserve"> würden somit die vorhergehende Formel folgendermaßen materialisiert:</w:t>
      </w:r>
    </w:p>
    <w:p w:rsidR="00190E31" w:rsidRPr="00190E31" w:rsidRDefault="00190E31" w:rsidP="00190E31">
      <w:pPr>
        <w:pStyle w:val="BodyText"/>
        <w:jc w:val="cente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hAnsi="Cambria Math"/>
                </w:rPr>
                <m:t>160</m:t>
              </m:r>
            </m:den>
          </m:f>
          <m:r>
            <w:rPr>
              <w:rFonts w:ascii="Cambria Math" w:hAnsi="Cambria Math"/>
            </w:rPr>
            <m:t>∙20∙0.5=</m:t>
          </m:r>
          <m:r>
            <w:rPr>
              <w:rFonts w:ascii="Cambria Math" w:hAnsi="Cambria Math"/>
            </w:rPr>
            <m:t>125€</m:t>
          </m:r>
        </m:oMath>
      </m:oMathPara>
    </w:p>
    <w:p w:rsidR="00190E31" w:rsidRDefault="00190E31" w:rsidP="00190E31">
      <w:pPr>
        <w:pStyle w:val="BodyText"/>
        <w:jc w:val="left"/>
      </w:pPr>
      <w:r>
        <w:t>Es wurden hierbei</w:t>
      </w:r>
      <w:r w:rsidR="00ED6AD9">
        <w:t xml:space="preserve"> verursachte Gesamtkosten pro Monat in Höhe von 2000€, 160 Stunden Arbeit pro Monat, 20 Zeichnungen pro Monat sowie ein Zeitaufwand von 0.5 Stunden pro Zeichnung veranschlagt.</w:t>
      </w:r>
    </w:p>
    <w:p w:rsidR="00ED6AD9" w:rsidRDefault="00ED6AD9" w:rsidP="00190E31">
      <w:pPr>
        <w:pStyle w:val="BodyText"/>
        <w:jc w:val="left"/>
      </w:pPr>
      <w:r>
        <w:t xml:space="preserve">Es sei gesagt, dass die </w:t>
      </w:r>
      <w:r w:rsidRPr="00ED6AD9">
        <w:rPr>
          <w:i/>
        </w:rPr>
        <w:t>kaum schätzbaren Kosten, welche aus den auftretenden Fehlerfällen resultieren</w:t>
      </w:r>
      <w:r>
        <w:rPr>
          <w:rStyle w:val="FootnoteReference"/>
        </w:rPr>
        <w:footnoteReference w:id="3"/>
      </w:r>
      <w:r>
        <w:t xml:space="preserve"> in dieser Rechnung noch nicht berücksichtigt sind. Diese sind, grob geschätzt, weitaus höher.</w:t>
      </w:r>
    </w:p>
    <w:p w:rsidR="00ED6AD9" w:rsidRPr="000B410D" w:rsidRDefault="00ED6AD9" w:rsidP="00190E31">
      <w:pPr>
        <w:pStyle w:val="BodyText"/>
        <w:jc w:val="left"/>
      </w:pPr>
      <w:r>
        <w:t>Dieses Projekt wurde, unter dem Aspekt der wirtschaftlichkeit, mit der Intention gewählt, die genannten Kosten zu minimieren bzw. zu eliminieren.</w:t>
      </w:r>
    </w:p>
    <w:p w:rsidR="005928CA" w:rsidRDefault="0045550A" w:rsidP="005928CA">
      <w:pPr>
        <w:pStyle w:val="BodyText"/>
        <w:jc w:val="left"/>
      </w:pPr>
      <w:r>
        <w:br w:type="page"/>
      </w:r>
    </w:p>
    <w:p w:rsidR="00333A19" w:rsidRDefault="00333A19">
      <w:pPr>
        <w:pStyle w:val="Heading1"/>
        <w:numPr>
          <w:ilvl w:val="0"/>
          <w:numId w:val="0"/>
        </w:numPr>
        <w:rPr>
          <w:rFonts w:ascii="Times New Roman" w:hAnsi="Times New Roman"/>
        </w:rPr>
      </w:pPr>
      <w:bookmarkStart w:id="3" w:name="_Toc491877623"/>
      <w:r>
        <w:lastRenderedPageBreak/>
        <w:t xml:space="preserve">Literatur </w:t>
      </w:r>
      <w:r>
        <w:rPr>
          <w:b w:val="0"/>
          <w:bCs w:val="0"/>
          <w:sz w:val="20"/>
          <w:szCs w:val="20"/>
        </w:rPr>
        <w:t xml:space="preserve">&lt;Typ Überschrift1; mit </w:t>
      </w:r>
      <w:r>
        <w:rPr>
          <w:sz w:val="20"/>
          <w:szCs w:val="20"/>
        </w:rPr>
        <w:t>Löschtaste_links</w:t>
      </w:r>
      <w:r>
        <w:rPr>
          <w:b w:val="0"/>
          <w:bCs w:val="0"/>
          <w:sz w:val="20"/>
          <w:szCs w:val="20"/>
        </w:rPr>
        <w:t xml:space="preserve"> Nummer entfernt&gt;</w:t>
      </w:r>
      <w:bookmarkEnd w:id="3"/>
    </w:p>
    <w:p w:rsidR="00333A19" w:rsidRDefault="00333A19">
      <w:pPr>
        <w:pStyle w:val="Literatur-WI"/>
        <w:rPr>
          <w:b/>
          <w:bCs/>
        </w:rPr>
      </w:pPr>
      <w:r w:rsidRPr="006A14FB">
        <w:rPr>
          <w:b/>
          <w:bCs/>
          <w:lang w:val="en-US"/>
        </w:rPr>
        <w:t xml:space="preserve">[Codd82] </w:t>
      </w:r>
      <w:r w:rsidRPr="006A14FB">
        <w:rPr>
          <w:lang w:val="en-US"/>
        </w:rPr>
        <w:t xml:space="preserve">Codd, E. F.: Relational Database: A Practical Foundation for Productivity. </w:t>
      </w:r>
      <w:r>
        <w:t>Communications of the ACM 25(1982) 2, 109-117.</w:t>
      </w:r>
    </w:p>
    <w:p w:rsidR="00333A19" w:rsidRDefault="00333A19">
      <w:pPr>
        <w:pStyle w:val="Literatur-WI"/>
        <w:rPr>
          <w:b/>
          <w:bCs/>
        </w:rPr>
      </w:pPr>
      <w:r>
        <w:rPr>
          <w:b/>
          <w:bCs/>
        </w:rPr>
        <w:t xml:space="preserve">[ElNa09] </w:t>
      </w:r>
      <w:r>
        <w:t>Elmasri, R.; Navathe, S.B.: Grundlagen von Datenbanksystemen – Ausgabe Grundstudium. 3.Aufl. Pearson, München – Boston et al. 2009 (Übers. US-Ausgabe 2000).</w:t>
      </w:r>
    </w:p>
    <w:p w:rsidR="00333A19" w:rsidRPr="006A14FB" w:rsidRDefault="00333A19">
      <w:pPr>
        <w:pStyle w:val="Literatur-WI"/>
        <w:rPr>
          <w:lang w:val="en-US"/>
        </w:rPr>
      </w:pPr>
      <w:r>
        <w:rPr>
          <w:b/>
          <w:bCs/>
        </w:rPr>
        <w:t>[SpBi08]</w:t>
      </w:r>
      <w:r>
        <w:t xml:space="preserve"> Spitta, T.; Bick, M.: Informationswirtschaft – Eine Einführung. </w:t>
      </w:r>
      <w:r w:rsidRPr="006A14FB">
        <w:rPr>
          <w:lang w:val="en-US"/>
        </w:rPr>
        <w:t xml:space="preserve">2. </w:t>
      </w:r>
      <w:proofErr w:type="spellStart"/>
      <w:r w:rsidRPr="006A14FB">
        <w:rPr>
          <w:lang w:val="en-US"/>
        </w:rPr>
        <w:t>Aufl</w:t>
      </w:r>
      <w:proofErr w:type="spellEnd"/>
      <w:r w:rsidRPr="006A14FB">
        <w:rPr>
          <w:lang w:val="en-US"/>
        </w:rPr>
        <w:t xml:space="preserve">., Springer, Berlin – Heidelberg – </w:t>
      </w:r>
      <w:proofErr w:type="spellStart"/>
      <w:r w:rsidRPr="006A14FB">
        <w:rPr>
          <w:lang w:val="en-US"/>
        </w:rPr>
        <w:t>NewYork</w:t>
      </w:r>
      <w:proofErr w:type="spellEnd"/>
      <w:r w:rsidRPr="006A14FB">
        <w:rPr>
          <w:lang w:val="en-US"/>
        </w:rPr>
        <w:t xml:space="preserve"> et al 2008.</w:t>
      </w:r>
    </w:p>
    <w:p w:rsidR="00333A19" w:rsidRPr="006A14FB" w:rsidRDefault="00333A19">
      <w:pPr>
        <w:pStyle w:val="BodyText"/>
        <w:rPr>
          <w:lang w:val="en-US"/>
        </w:rPr>
      </w:pPr>
    </w:p>
    <w:p w:rsidR="00333A19" w:rsidRPr="006A14FB" w:rsidRDefault="00333A19">
      <w:pPr>
        <w:pStyle w:val="BodyText"/>
        <w:rPr>
          <w:lang w:val="en-US"/>
        </w:rPr>
      </w:pPr>
      <w:proofErr w:type="spellStart"/>
      <w:r w:rsidRPr="006A14FB">
        <w:rPr>
          <w:lang w:val="en-US"/>
        </w:rPr>
        <w:t>oder</w:t>
      </w:r>
      <w:proofErr w:type="spellEnd"/>
      <w:r w:rsidRPr="006A14FB">
        <w:rPr>
          <w:lang w:val="en-US"/>
        </w:rPr>
        <w:t>:</w:t>
      </w:r>
    </w:p>
    <w:p w:rsidR="00333A19" w:rsidRDefault="00333A19">
      <w:pPr>
        <w:pStyle w:val="Literatur"/>
      </w:pPr>
      <w:r w:rsidRPr="006A14FB">
        <w:rPr>
          <w:lang w:val="en-US"/>
        </w:rPr>
        <w:t xml:space="preserve">Codd, E. F. (1982): Relational Database: A Practical Foundation for Productivity. </w:t>
      </w:r>
      <w:r>
        <w:t>Communications of the ACM 25(2), 109-117.</w:t>
      </w:r>
    </w:p>
    <w:p w:rsidR="00333A19" w:rsidRDefault="00333A19">
      <w:pPr>
        <w:pStyle w:val="Literatur"/>
      </w:pPr>
      <w:r>
        <w:t>Elmasri, R.; Navathe, S.B. (2009): Grundlagen von Datenbanksystemen – Ausgabe Grundstudium. 3.Aufl. Pearson, München – Boston et al. (Übers. US-Ausgabe 2000).</w:t>
      </w:r>
    </w:p>
    <w:p w:rsidR="00333A19" w:rsidRDefault="00333A19">
      <w:pPr>
        <w:pStyle w:val="Literatur"/>
      </w:pPr>
      <w:r>
        <w:t>Spitta, T.; Bick, M. (2008): Informationswirtschaft – Eine Einführung. 2. Aufl., Springer, Berlin – Heidelberg – NewYork et al.</w:t>
      </w:r>
    </w:p>
    <w:p w:rsidR="00333A19" w:rsidRDefault="00333A19">
      <w:pPr>
        <w:pStyle w:val="BodyText"/>
      </w:pPr>
    </w:p>
    <w:p w:rsidR="00333A19" w:rsidRDefault="00333A19">
      <w:pPr>
        <w:pStyle w:val="BodyText"/>
        <w:jc w:val="center"/>
        <w:rPr>
          <w:sz w:val="20"/>
          <w:szCs w:val="20"/>
        </w:rPr>
      </w:pPr>
    </w:p>
    <w:p w:rsidR="00333A19" w:rsidRDefault="00333A19">
      <w:pPr>
        <w:pStyle w:val="BodyText"/>
        <w:jc w:val="center"/>
        <w:rPr>
          <w:sz w:val="20"/>
          <w:szCs w:val="20"/>
        </w:rPr>
      </w:pPr>
      <w:r>
        <w:rPr>
          <w:sz w:val="20"/>
          <w:szCs w:val="20"/>
        </w:rPr>
        <w:t xml:space="preserve">Wenn Sie die Dokumentvorlage abspeichern, wird hinter 'Stand' das Tagesdatum </w:t>
      </w:r>
      <w:r>
        <w:rPr>
          <w:sz w:val="20"/>
          <w:szCs w:val="20"/>
        </w:rPr>
        <w:br/>
        <w:t>und in der Mitte der Fußzeile der Dateiname eingefügt. Das ist für die Erstellung machmal praktisch.</w:t>
      </w:r>
    </w:p>
    <w:p w:rsidR="00333A19" w:rsidRDefault="00333A19">
      <w:pPr>
        <w:pStyle w:val="BodyText"/>
        <w:jc w:val="center"/>
        <w:rPr>
          <w:sz w:val="20"/>
          <w:szCs w:val="20"/>
        </w:rPr>
      </w:pPr>
      <w:r>
        <w:rPr>
          <w:sz w:val="20"/>
          <w:szCs w:val="20"/>
        </w:rPr>
        <w:t>Vor der Abgabe können Sie die Fußzeile einfach löschen, wenn Sie das wollen.</w:t>
      </w:r>
    </w:p>
    <w:p w:rsidR="00333A19" w:rsidRDefault="00333A19">
      <w:pPr>
        <w:pStyle w:val="BodyText"/>
        <w:jc w:val="center"/>
        <w:rPr>
          <w:sz w:val="20"/>
          <w:szCs w:val="20"/>
        </w:rPr>
      </w:pPr>
      <w:r>
        <w:rPr>
          <w:sz w:val="20"/>
          <w:szCs w:val="20"/>
        </w:rPr>
        <w:t xml:space="preserve">Die erste Seite hat in OO den </w:t>
      </w:r>
      <w:r>
        <w:rPr>
          <w:b/>
          <w:bCs/>
          <w:sz w:val="20"/>
          <w:szCs w:val="20"/>
        </w:rPr>
        <w:t>Seitentyp</w:t>
      </w:r>
      <w:r>
        <w:rPr>
          <w:sz w:val="20"/>
          <w:szCs w:val="20"/>
        </w:rPr>
        <w:t xml:space="preserve"> </w:t>
      </w:r>
      <w:r>
        <w:rPr>
          <w:i/>
          <w:iCs/>
          <w:sz w:val="20"/>
          <w:szCs w:val="20"/>
        </w:rPr>
        <w:t>Erste Seite</w:t>
      </w:r>
      <w:r>
        <w:rPr>
          <w:sz w:val="20"/>
          <w:szCs w:val="20"/>
        </w:rPr>
        <w:t xml:space="preserve">, alle weiteren den Typ </w:t>
      </w:r>
      <w:r>
        <w:rPr>
          <w:i/>
          <w:iCs/>
          <w:sz w:val="20"/>
          <w:szCs w:val="20"/>
        </w:rPr>
        <w:t>Standard</w:t>
      </w:r>
      <w:r>
        <w:rPr>
          <w:sz w:val="20"/>
          <w:szCs w:val="20"/>
        </w:rPr>
        <w:t>.</w:t>
      </w:r>
    </w:p>
    <w:p w:rsidR="00333A19" w:rsidRDefault="00333A19">
      <w:pPr>
        <w:pStyle w:val="BodyText"/>
        <w:jc w:val="center"/>
      </w:pPr>
      <w:r>
        <w:rPr>
          <w:sz w:val="20"/>
          <w:szCs w:val="20"/>
        </w:rPr>
        <w:t>In Word gibt es m.W. das Format „Seitentyp“ nicht.</w:t>
      </w:r>
    </w:p>
    <w:sectPr w:rsidR="00333A19">
      <w:headerReference w:type="even" r:id="rId14"/>
      <w:headerReference w:type="default" r:id="rId15"/>
      <w:footerReference w:type="even" r:id="rId16"/>
      <w:footerReference w:type="default" r:id="rId17"/>
      <w:headerReference w:type="first" r:id="rId18"/>
      <w:footerReference w:type="first" r:id="rId19"/>
      <w:pgSz w:w="11906" w:h="16838"/>
      <w:pgMar w:top="2152" w:right="1417" w:bottom="1643"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666" w:rsidRDefault="00AA1666">
      <w:r>
        <w:separator/>
      </w:r>
    </w:p>
  </w:endnote>
  <w:endnote w:type="continuationSeparator" w:id="0">
    <w:p w:rsidR="00AA1666" w:rsidRDefault="00AA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Footer"/>
      <w:jc w:val="center"/>
    </w:pPr>
    <w:r>
      <w:rPr>
        <w:sz w:val="20"/>
        <w:szCs w:val="20"/>
      </w:rPr>
      <w:t xml:space="preserve">Stand: </w:t>
    </w:r>
    <w:r>
      <w:rPr>
        <w:sz w:val="20"/>
        <w:szCs w:val="20"/>
      </w:rPr>
      <w:fldChar w:fldCharType="begin"/>
    </w:r>
    <w:r>
      <w:rPr>
        <w:sz w:val="20"/>
        <w:szCs w:val="20"/>
      </w:rPr>
      <w:instrText xml:space="preserve"> SAVEDATE \@"dd.MM.yyyy" </w:instrText>
    </w:r>
    <w:r>
      <w:rPr>
        <w:sz w:val="20"/>
        <w:szCs w:val="20"/>
      </w:rPr>
      <w:fldChar w:fldCharType="separate"/>
    </w:r>
    <w:r>
      <w:rPr>
        <w:noProof/>
        <w:sz w:val="20"/>
        <w:szCs w:val="20"/>
      </w:rPr>
      <w:t>31.08.2017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&lt;autor&gt;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Pr>
        <w:noProof/>
        <w:sz w:val="20"/>
        <w:szCs w:val="20"/>
      </w:rPr>
      <w:t>31.08.17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Pr>
        <w:noProof/>
        <w:sz w:val="20"/>
        <w:szCs w:val="20"/>
      </w:rPr>
      <w:t>31.08.17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666" w:rsidRDefault="00AA1666">
      <w:r>
        <w:separator/>
      </w:r>
    </w:p>
  </w:footnote>
  <w:footnote w:type="continuationSeparator" w:id="0">
    <w:p w:rsidR="00AA1666" w:rsidRDefault="00AA1666">
      <w:r>
        <w:continuationSeparator/>
      </w:r>
    </w:p>
  </w:footnote>
  <w:footnote w:id="1">
    <w:p w:rsidR="00ED6AD9" w:rsidRDefault="00ED6AD9">
      <w:pPr>
        <w:pStyle w:val="FootnoteText"/>
      </w:pPr>
      <w:r>
        <w:rPr>
          <w:rStyle w:val="FootnoteReference"/>
        </w:rPr>
        <w:footnoteRef/>
      </w:r>
      <w:r>
        <w:t xml:space="preserve"> „GiGo“ steht für „Garbage in, Garbage out“ und bezeichnet eine Systemart bei der die Eingabe falscher Parameter zur Ausgabe eines falschen bzw. nicht definierten Ergebnis führt.</w:t>
      </w:r>
    </w:p>
  </w:footnote>
  <w:footnote w:id="2">
    <w:p w:rsidR="00ED6AD9" w:rsidRDefault="00ED6AD9">
      <w:pPr>
        <w:pStyle w:val="FootnoteText"/>
      </w:pPr>
      <w:r>
        <w:rPr>
          <w:rStyle w:val="FootnoteReference"/>
        </w:rPr>
        <w:footnoteRef/>
      </w:r>
      <w:r>
        <w:t xml:space="preserve"> </w:t>
      </w:r>
      <w:r>
        <w:t>„Beispielhafte angelehnte Werte“, da die Offenlegung von Gehältern o.Ä. gegen die Geheimhaltungsvorschriften vertraulicher Daten verstöße</w:t>
      </w:r>
      <w:r w:rsidR="009E5D55">
        <w:t>.</w:t>
      </w:r>
    </w:p>
  </w:footnote>
  <w:footnote w:id="3">
    <w:p w:rsidR="00ED6AD9" w:rsidRDefault="00ED6AD9">
      <w:pPr>
        <w:pStyle w:val="FootnoteText"/>
      </w:pPr>
      <w:r>
        <w:rPr>
          <w:rStyle w:val="FootnoteReference"/>
        </w:rPr>
        <w:footnoteRef/>
      </w:r>
      <w:r>
        <w:t xml:space="preserve"> </w:t>
      </w:r>
      <w:r>
        <w:t xml:space="preserve">Damit sind </w:t>
      </w:r>
      <w:r w:rsidR="009E5D55">
        <w:t>die durch genannte Fehlerfälle (falsche Ansichten oder im schlimmsten Fall Abstürze) auftretenden Kosten beim Kunden gemeint, welche indirekt der ORGADATA AG entstehen. Dazu gehört auch der Aufwand des Debuggens bzw. der Kategorisierung gemeldeter Fehler.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9E5D55">
      <w:rPr>
        <w:noProof/>
        <w:sz w:val="20"/>
        <w:szCs w:val="20"/>
      </w:rPr>
      <w:t>2</w:t>
    </w:r>
    <w:r>
      <w:rPr>
        <w:sz w:val="20"/>
        <w:szCs w:val="20"/>
      </w:rPr>
      <w:fldChar w:fldCharType="end"/>
    </w:r>
  </w:p>
  <w:p w:rsidR="00ED6AD9" w:rsidRDefault="00ED6AD9">
    <w:pPr>
      <w:pStyle w:val="Header"/>
    </w:pP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047DB3">
      <w:rPr>
        <w:noProof/>
        <w:sz w:val="20"/>
        <w:szCs w:val="20"/>
      </w:rPr>
      <w:t>5</w:t>
    </w:r>
    <w:r>
      <w:rPr>
        <w:sz w:val="20"/>
        <w:szCs w:val="20"/>
      </w:rPr>
      <w:fldChar w:fldCharType="end"/>
    </w:r>
  </w:p>
  <w:p w:rsidR="00ED6AD9" w:rsidRDefault="00ED6AD9">
    <w:pPr>
      <w:pStyle w:val="Header"/>
    </w:pPr>
    <w:r>
      <w:rPr>
        <w:sz w:val="20"/>
        <w:szCs w:val="20"/>
      </w:rPr>
      <w:tab/>
    </w:r>
    <w:r>
      <w:rPr>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suff w:val="nothing"/>
      <w:lvlText w:val="%1   "/>
      <w:lvlJc w:val="left"/>
      <w:pPr>
        <w:tabs>
          <w:tab w:val="num" w:pos="0"/>
        </w:tabs>
        <w:ind w:left="0" w:firstLine="0"/>
      </w:pPr>
    </w:lvl>
    <w:lvl w:ilvl="1">
      <w:start w:val="1"/>
      <w:numFmt w:val="decimal"/>
      <w:pStyle w:val="Heading2"/>
      <w:suff w:val="nothing"/>
      <w:lvlText w:val="%1.%2 "/>
      <w:lvlJc w:val="left"/>
      <w:pPr>
        <w:tabs>
          <w:tab w:val="num" w:pos="0"/>
        </w:tabs>
        <w:ind w:left="0" w:firstLine="0"/>
      </w:pPr>
    </w:lvl>
    <w:lvl w:ilvl="2">
      <w:start w:val="1"/>
      <w:numFmt w:val="decimal"/>
      <w:pStyle w:val="Heading3"/>
      <w:suff w:val="nothing"/>
      <w:lvlText w:val="%1.%2.%3 "/>
      <w:lvlJc w:val="left"/>
      <w:pPr>
        <w:tabs>
          <w:tab w:val="num" w:pos="0"/>
        </w:tabs>
        <w:ind w:left="0" w:firstLine="0"/>
      </w:pPr>
    </w:lvl>
    <w:lvl w:ilvl="3">
      <w:start w:val="1"/>
      <w:numFmt w:val="decimal"/>
      <w:pStyle w:val="Heading4"/>
      <w:suff w:val="nothing"/>
      <w:lvlText w:val="%1.%2.%3.%4 "/>
      <w:lvlJc w:val="left"/>
      <w:pPr>
        <w:tabs>
          <w:tab w:val="num" w:pos="0"/>
        </w:tabs>
        <w:ind w:left="0" w:firstLine="0"/>
      </w:pPr>
    </w:lvl>
    <w:lvl w:ilvl="4">
      <w:start w:val="1"/>
      <w:numFmt w:val="decimal"/>
      <w:suff w:val="nothing"/>
      <w:lvlText w:val="%2.%3.%4.%5"/>
      <w:lvlJc w:val="left"/>
      <w:pPr>
        <w:tabs>
          <w:tab w:val="num" w:pos="0"/>
        </w:tabs>
        <w:ind w:left="0" w:firstLine="0"/>
      </w:pPr>
    </w:lvl>
    <w:lvl w:ilvl="5">
      <w:start w:val="1"/>
      <w:numFmt w:val="decimal"/>
      <w:suff w:val="nothing"/>
      <w:lvlText w:val="%3.%4.%5.%6"/>
      <w:lvlJc w:val="left"/>
      <w:pPr>
        <w:tabs>
          <w:tab w:val="num" w:pos="0"/>
        </w:tabs>
        <w:ind w:left="0" w:firstLine="0"/>
      </w:pPr>
    </w:lvl>
    <w:lvl w:ilvl="6">
      <w:start w:val="1"/>
      <w:numFmt w:val="decimal"/>
      <w:suff w:val="nothing"/>
      <w:lvlText w:val="%4.%5.%6.%7"/>
      <w:lvlJc w:val="left"/>
      <w:pPr>
        <w:tabs>
          <w:tab w:val="num" w:pos="0"/>
        </w:tabs>
        <w:ind w:left="0" w:firstLine="0"/>
      </w:pPr>
    </w:lvl>
    <w:lvl w:ilvl="7">
      <w:start w:val="1"/>
      <w:numFmt w:val="decimal"/>
      <w:suff w:val="nothing"/>
      <w:lvlText w:val="%5.%6.%7.%8"/>
      <w:lvlJc w:val="left"/>
      <w:pPr>
        <w:tabs>
          <w:tab w:val="num" w:pos="0"/>
        </w:tabs>
        <w:ind w:left="0" w:firstLine="0"/>
      </w:pPr>
    </w:lvl>
    <w:lvl w:ilvl="8">
      <w:start w:val="1"/>
      <w:numFmt w:val="decimal"/>
      <w:suff w:val="nothing"/>
      <w:lvlText w:val="%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i w:val="0"/>
        <w:iCs w:val="0"/>
        <w:sz w:val="18"/>
        <w:szCs w:val="18"/>
      </w:rPr>
    </w:lvl>
    <w:lvl w:ilvl="1">
      <w:start w:val="1"/>
      <w:numFmt w:val="bullet"/>
      <w:lvlText w:val="◦"/>
      <w:lvlJc w:val="left"/>
      <w:pPr>
        <w:tabs>
          <w:tab w:val="num" w:pos="1080"/>
        </w:tabs>
        <w:ind w:left="1080" w:hanging="360"/>
      </w:pPr>
      <w:rPr>
        <w:rFonts w:ascii="OpenSymbol" w:hAnsi="OpenSymbol" w:cs="StarSymbol"/>
        <w:i w:val="0"/>
        <w:iCs w:val="0"/>
        <w:sz w:val="18"/>
        <w:szCs w:val="18"/>
      </w:rPr>
    </w:lvl>
    <w:lvl w:ilvl="2">
      <w:start w:val="1"/>
      <w:numFmt w:val="bullet"/>
      <w:lvlText w:val="▪"/>
      <w:lvlJc w:val="left"/>
      <w:pPr>
        <w:tabs>
          <w:tab w:val="num" w:pos="1440"/>
        </w:tabs>
        <w:ind w:left="1440" w:hanging="360"/>
      </w:pPr>
      <w:rPr>
        <w:rFonts w:ascii="OpenSymbol" w:hAnsi="OpenSymbol" w:cs="StarSymbol"/>
        <w:i w:val="0"/>
        <w:iCs w:val="0"/>
        <w:sz w:val="18"/>
        <w:szCs w:val="18"/>
      </w:rPr>
    </w:lvl>
    <w:lvl w:ilvl="3">
      <w:start w:val="1"/>
      <w:numFmt w:val="bullet"/>
      <w:lvlText w:val=""/>
      <w:lvlJc w:val="left"/>
      <w:pPr>
        <w:tabs>
          <w:tab w:val="num" w:pos="1800"/>
        </w:tabs>
        <w:ind w:left="1800" w:hanging="360"/>
      </w:pPr>
      <w:rPr>
        <w:rFonts w:ascii="Symbol" w:hAnsi="Symbol" w:cs="StarSymbol"/>
        <w:i w:val="0"/>
        <w:iCs w:val="0"/>
        <w:sz w:val="18"/>
        <w:szCs w:val="18"/>
      </w:rPr>
    </w:lvl>
    <w:lvl w:ilvl="4">
      <w:start w:val="1"/>
      <w:numFmt w:val="bullet"/>
      <w:lvlText w:val="◦"/>
      <w:lvlJc w:val="left"/>
      <w:pPr>
        <w:tabs>
          <w:tab w:val="num" w:pos="2160"/>
        </w:tabs>
        <w:ind w:left="2160" w:hanging="360"/>
      </w:pPr>
      <w:rPr>
        <w:rFonts w:ascii="OpenSymbol" w:hAnsi="OpenSymbol" w:cs="StarSymbol"/>
        <w:i w:val="0"/>
        <w:iCs w:val="0"/>
        <w:sz w:val="18"/>
        <w:szCs w:val="18"/>
      </w:rPr>
    </w:lvl>
    <w:lvl w:ilvl="5">
      <w:start w:val="1"/>
      <w:numFmt w:val="bullet"/>
      <w:lvlText w:val="▪"/>
      <w:lvlJc w:val="left"/>
      <w:pPr>
        <w:tabs>
          <w:tab w:val="num" w:pos="2520"/>
        </w:tabs>
        <w:ind w:left="2520" w:hanging="360"/>
      </w:pPr>
      <w:rPr>
        <w:rFonts w:ascii="OpenSymbol" w:hAnsi="OpenSymbol" w:cs="StarSymbol"/>
        <w:i w:val="0"/>
        <w:iCs w:val="0"/>
        <w:sz w:val="18"/>
        <w:szCs w:val="18"/>
      </w:rPr>
    </w:lvl>
    <w:lvl w:ilvl="6">
      <w:start w:val="1"/>
      <w:numFmt w:val="bullet"/>
      <w:lvlText w:val=""/>
      <w:lvlJc w:val="left"/>
      <w:pPr>
        <w:tabs>
          <w:tab w:val="num" w:pos="2880"/>
        </w:tabs>
        <w:ind w:left="2880" w:hanging="360"/>
      </w:pPr>
      <w:rPr>
        <w:rFonts w:ascii="Symbol" w:hAnsi="Symbol" w:cs="StarSymbol"/>
        <w:i w:val="0"/>
        <w:iCs w:val="0"/>
        <w:sz w:val="18"/>
        <w:szCs w:val="18"/>
      </w:rPr>
    </w:lvl>
    <w:lvl w:ilvl="7">
      <w:start w:val="1"/>
      <w:numFmt w:val="bullet"/>
      <w:lvlText w:val="◦"/>
      <w:lvlJc w:val="left"/>
      <w:pPr>
        <w:tabs>
          <w:tab w:val="num" w:pos="3240"/>
        </w:tabs>
        <w:ind w:left="3240" w:hanging="360"/>
      </w:pPr>
      <w:rPr>
        <w:rFonts w:ascii="OpenSymbol" w:hAnsi="OpenSymbol" w:cs="StarSymbol"/>
        <w:i w:val="0"/>
        <w:iCs w:val="0"/>
        <w:sz w:val="18"/>
        <w:szCs w:val="18"/>
      </w:rPr>
    </w:lvl>
    <w:lvl w:ilvl="8">
      <w:start w:val="1"/>
      <w:numFmt w:val="bullet"/>
      <w:lvlText w:val="▪"/>
      <w:lvlJc w:val="left"/>
      <w:pPr>
        <w:tabs>
          <w:tab w:val="num" w:pos="3600"/>
        </w:tabs>
        <w:ind w:left="3600" w:hanging="360"/>
      </w:pPr>
      <w:rPr>
        <w:rFonts w:ascii="OpenSymbol" w:hAnsi="OpenSymbol" w:cs="StarSymbol"/>
        <w:i w:val="0"/>
        <w:iCs w:val="0"/>
        <w:sz w:val="18"/>
        <w:szCs w:val="18"/>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CD3C68"/>
    <w:multiLevelType w:val="hybridMultilevel"/>
    <w:tmpl w:val="2D02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5"/>
    <w:rsid w:val="00047DB3"/>
    <w:rsid w:val="000B410D"/>
    <w:rsid w:val="000E06AD"/>
    <w:rsid w:val="00190E31"/>
    <w:rsid w:val="0029299E"/>
    <w:rsid w:val="00333A19"/>
    <w:rsid w:val="00334EAE"/>
    <w:rsid w:val="003C3747"/>
    <w:rsid w:val="0045550A"/>
    <w:rsid w:val="00462DB5"/>
    <w:rsid w:val="004D2B3E"/>
    <w:rsid w:val="004D3863"/>
    <w:rsid w:val="005928CA"/>
    <w:rsid w:val="006A14FB"/>
    <w:rsid w:val="00705974"/>
    <w:rsid w:val="007278EC"/>
    <w:rsid w:val="00830A01"/>
    <w:rsid w:val="009006A9"/>
    <w:rsid w:val="009E5D55"/>
    <w:rsid w:val="00A913B1"/>
    <w:rsid w:val="00AA1666"/>
    <w:rsid w:val="00AE0689"/>
    <w:rsid w:val="00BC31E0"/>
    <w:rsid w:val="00CB44C4"/>
    <w:rsid w:val="00EA14C8"/>
    <w:rsid w:val="00ED6AD9"/>
    <w:rsid w:val="00FF4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F1EF6F"/>
  <w15:chartTrackingRefBased/>
  <w15:docId w15:val="{D040EAA1-E011-4F6A-A3FC-8A32F0CC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eastAsia="Arial Unicode MS"/>
      <w:sz w:val="24"/>
      <w:szCs w:val="24"/>
    </w:rPr>
  </w:style>
  <w:style w:type="paragraph" w:styleId="Heading1">
    <w:name w:val="heading 1"/>
    <w:basedOn w:val="berschrift"/>
    <w:next w:val="BodyText"/>
    <w:qFormat/>
    <w:pPr>
      <w:numPr>
        <w:numId w:val="1"/>
      </w:numPr>
      <w:spacing w:after="62"/>
      <w:jc w:val="left"/>
      <w:outlineLvl w:val="0"/>
    </w:pPr>
    <w:rPr>
      <w:bCs/>
      <w:sz w:val="32"/>
      <w:szCs w:val="32"/>
    </w:rPr>
  </w:style>
  <w:style w:type="paragraph" w:styleId="Heading2">
    <w:name w:val="heading 2"/>
    <w:basedOn w:val="Heading1"/>
    <w:next w:val="BodyText"/>
    <w:qFormat/>
    <w:pPr>
      <w:numPr>
        <w:ilvl w:val="1"/>
      </w:numPr>
      <w:spacing w:before="170" w:after="113"/>
      <w:outlineLvl w:val="1"/>
    </w:pPr>
    <w:rPr>
      <w:iCs/>
      <w:sz w:val="28"/>
      <w:szCs w:val="28"/>
    </w:rPr>
  </w:style>
  <w:style w:type="paragraph" w:styleId="Heading3">
    <w:name w:val="heading 3"/>
    <w:basedOn w:val="Heading2"/>
    <w:next w:val="BodyText"/>
    <w:qFormat/>
    <w:pPr>
      <w:numPr>
        <w:ilvl w:val="2"/>
      </w:numPr>
      <w:spacing w:before="142" w:after="57"/>
      <w:outlineLvl w:val="2"/>
    </w:pPr>
    <w:rPr>
      <w:sz w:val="24"/>
    </w:rPr>
  </w:style>
  <w:style w:type="paragraph" w:styleId="Heading4">
    <w:name w:val="heading 4"/>
    <w:basedOn w:val="Heading3"/>
    <w:next w:val="BodyText"/>
    <w:qFormat/>
    <w:pPr>
      <w:numPr>
        <w:ilvl w:val="3"/>
      </w:numPr>
      <w:outlineLvl w:val="3"/>
    </w:pPr>
    <w:rPr>
      <w:sz w:val="23"/>
      <w:szCs w:val="24"/>
    </w:rPr>
  </w:style>
  <w:style w:type="paragraph" w:styleId="Heading8">
    <w:name w:val="heading 8"/>
    <w:basedOn w:val="Normal"/>
    <w:next w:val="Normal"/>
    <w:qFormat/>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
    <w:name w:val="Fußnotenzeichen"/>
  </w:style>
  <w:style w:type="character" w:customStyle="1" w:styleId="Nummerierungszeichen">
    <w:name w:val="Nummerierungszeichen"/>
  </w:style>
  <w:style w:type="character" w:customStyle="1" w:styleId="Aufzhlungszeichen">
    <w:name w:val="Aufzählungszeichen"/>
    <w:rPr>
      <w:rFonts w:ascii="StarSymbol" w:eastAsia="StarSymbol" w:hAnsi="StarSymbol" w:cs="StarSymbol"/>
      <w:i w:val="0"/>
      <w:iCs w:val="0"/>
      <w:sz w:val="18"/>
      <w:szCs w:val="18"/>
    </w:rPr>
  </w:style>
  <w:style w:type="character" w:customStyle="1" w:styleId="Endnotenzeichen">
    <w:name w:val="Endnotenzeichen"/>
  </w:style>
  <w:style w:type="character" w:styleId="FootnoteReference">
    <w:name w:val="footnote reference"/>
    <w:rPr>
      <w:vertAlign w:val="superscript"/>
    </w:rPr>
  </w:style>
  <w:style w:type="character" w:customStyle="1" w:styleId="WW8Num5z0">
    <w:name w:val="WW8Num5z0"/>
    <w:rPr>
      <w:rFonts w:ascii="Wingdings" w:hAnsi="Wingdings"/>
    </w:rPr>
  </w:style>
  <w:style w:type="character" w:customStyle="1" w:styleId="WW8NumSt4z0">
    <w:name w:val="WW8NumSt4z0"/>
    <w:rPr>
      <w:rFonts w:ascii="Symbol" w:hAnsi="Symbol"/>
    </w:rPr>
  </w:style>
  <w:style w:type="character" w:customStyle="1" w:styleId="WW8NumSt6z0">
    <w:name w:val="WW8NumSt6z0"/>
    <w:rPr>
      <w:rFonts w:ascii="Symbol" w:hAnsi="Symbol"/>
    </w:rPr>
  </w:style>
  <w:style w:type="character" w:customStyle="1" w:styleId="WW8Num9z0">
    <w:name w:val="WW8Num9z0"/>
    <w:rPr>
      <w:rFonts w:ascii="Symbol" w:hAnsi="Symbol"/>
    </w:rPr>
  </w:style>
  <w:style w:type="character" w:customStyle="1" w:styleId="WW8Num4z0">
    <w:name w:val="WW8Num4z0"/>
    <w:rPr>
      <w:rFonts w:ascii="Symbol" w:hAnsi="Symbol"/>
    </w:rPr>
  </w:style>
  <w:style w:type="character" w:customStyle="1" w:styleId="WW8Num7z0">
    <w:name w:val="WW8Num7z0"/>
    <w:rPr>
      <w:rFonts w:ascii="Symbol" w:hAnsi="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ndnoteReference">
    <w:name w:val="endnote reference"/>
    <w:rPr>
      <w:vertAlign w:val="superscript"/>
    </w:rPr>
  </w:style>
  <w:style w:type="paragraph" w:styleId="BodyText">
    <w:name w:val="Body Text"/>
    <w:basedOn w:val="Normal"/>
    <w:pPr>
      <w:spacing w:before="57" w:line="100" w:lineRule="atLeast"/>
    </w:pPr>
  </w:style>
  <w:style w:type="paragraph" w:styleId="BodyTextFirstIndent">
    <w:name w:val="Body Text First Indent"/>
    <w:basedOn w:val="BodyText"/>
    <w:pPr>
      <w:spacing w:before="0"/>
      <w:ind w:firstLine="283"/>
    </w:pPr>
  </w:style>
  <w:style w:type="paragraph" w:customStyle="1" w:styleId="TextkrperEinzugnegativ">
    <w:name w:val="Textkörper Einzug negativ"/>
    <w:basedOn w:val="BodyText"/>
    <w:pPr>
      <w:tabs>
        <w:tab w:val="left" w:pos="567"/>
      </w:tabs>
      <w:spacing w:before="0"/>
      <w:ind w:left="567" w:hanging="283"/>
    </w:pPr>
  </w:style>
  <w:style w:type="paragraph" w:styleId="BodyTextIndent">
    <w:name w:val="Body Text Indent"/>
    <w:basedOn w:val="Normal"/>
    <w:pPr>
      <w:ind w:left="851" w:hanging="851"/>
      <w:jc w:val="left"/>
    </w:pPr>
  </w:style>
  <w:style w:type="paragraph" w:customStyle="1" w:styleId="berschrift">
    <w:name w:val="Überschrift"/>
    <w:basedOn w:val="Normal"/>
    <w:next w:val="BodyText"/>
    <w:pPr>
      <w:keepNext/>
      <w:spacing w:before="295" w:after="119"/>
      <w:jc w:val="center"/>
    </w:pPr>
    <w:rPr>
      <w:rFonts w:ascii="Arial" w:eastAsia="MS Mincho" w:hAnsi="Arial" w:cs="Tahoma"/>
      <w:b/>
      <w:sz w:val="36"/>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spacing w:line="100" w:lineRule="atLeast"/>
      <w:jc w:val="left"/>
    </w:pPr>
    <w:rPr>
      <w:sz w:val="22"/>
    </w:rPr>
  </w:style>
  <w:style w:type="paragraph" w:customStyle="1" w:styleId="Tabellenberschrift">
    <w:name w:val="Tabellen Überschrift"/>
    <w:basedOn w:val="TabellenInhalt"/>
    <w:pPr>
      <w:jc w:val="center"/>
    </w:pPr>
    <w:rPr>
      <w:b/>
      <w:bCs/>
      <w:i/>
      <w:iCs/>
    </w:rPr>
  </w:style>
  <w:style w:type="paragraph" w:customStyle="1" w:styleId="Beschriftung">
    <w:name w:val="Beschriftung"/>
    <w:basedOn w:val="Normal"/>
    <w:pPr>
      <w:suppressLineNumbers/>
      <w:spacing w:before="120" w:after="120"/>
    </w:pPr>
    <w:rPr>
      <w:rFonts w:cs="Tahoma"/>
      <w:i/>
      <w:iCs/>
      <w:sz w:val="20"/>
      <w:szCs w:val="20"/>
    </w:rPr>
  </w:style>
  <w:style w:type="paragraph" w:customStyle="1" w:styleId="Rahmeninhalt">
    <w:name w:val="Rahmeninhalt"/>
    <w:basedOn w:val="BodyText"/>
  </w:style>
  <w:style w:type="paragraph" w:styleId="FootnoteText">
    <w:name w:val="footnote text"/>
    <w:basedOn w:val="Normal"/>
    <w:pPr>
      <w:suppressLineNumbers/>
      <w:ind w:left="283" w:hanging="283"/>
      <w:jc w:val="left"/>
    </w:pPr>
    <w:rPr>
      <w:sz w:val="20"/>
      <w:szCs w:val="20"/>
    </w:rPr>
  </w:style>
  <w:style w:type="paragraph" w:customStyle="1" w:styleId="Verzeichnis">
    <w:name w:val="Verzeichnis"/>
    <w:basedOn w:val="Normal"/>
    <w:pPr>
      <w:suppressLineNumbers/>
    </w:pPr>
    <w:rPr>
      <w:rFonts w:cs="Tahoma"/>
    </w:rPr>
  </w:style>
  <w:style w:type="paragraph" w:customStyle="1" w:styleId="Inhaltsverzeichnisberschrift">
    <w:name w:val="Inhaltsverzeichnis Überschrift"/>
    <w:basedOn w:val="berschrift"/>
    <w:pPr>
      <w:suppressLineNumbers/>
      <w:spacing w:before="0" w:after="0"/>
    </w:pPr>
    <w:rPr>
      <w:bCs/>
      <w:sz w:val="32"/>
      <w:szCs w:val="32"/>
    </w:rPr>
  </w:style>
  <w:style w:type="paragraph" w:styleId="TOC1">
    <w:name w:val="toc 1"/>
    <w:basedOn w:val="Verzeichnis"/>
    <w:uiPriority w:val="39"/>
    <w:pPr>
      <w:tabs>
        <w:tab w:val="right" w:leader="dot" w:pos="9637"/>
      </w:tabs>
    </w:pPr>
  </w:style>
  <w:style w:type="paragraph" w:styleId="TOC2">
    <w:name w:val="toc 2"/>
    <w:basedOn w:val="Verzeichnis"/>
    <w:uiPriority w:val="39"/>
    <w:pPr>
      <w:tabs>
        <w:tab w:val="right" w:leader="dot" w:pos="9637"/>
      </w:tabs>
      <w:ind w:left="283"/>
    </w:pPr>
  </w:style>
  <w:style w:type="paragraph" w:styleId="TOC3">
    <w:name w:val="toc 3"/>
    <w:basedOn w:val="Verzeichnis"/>
    <w:uiPriority w:val="39"/>
    <w:pPr>
      <w:tabs>
        <w:tab w:val="right" w:leader="dot" w:pos="9637"/>
      </w:tabs>
      <w:ind w:left="566"/>
    </w:pPr>
  </w:style>
  <w:style w:type="paragraph" w:styleId="TOC4">
    <w:name w:val="toc 4"/>
    <w:basedOn w:val="Verzeichnis"/>
    <w:pPr>
      <w:tabs>
        <w:tab w:val="right" w:leader="dot" w:pos="9637"/>
      </w:tabs>
      <w:ind w:left="849"/>
    </w:pPr>
  </w:style>
  <w:style w:type="paragraph" w:customStyle="1" w:styleId="HorizontaleLinie">
    <w:name w:val="Horizontale Linie"/>
    <w:basedOn w:val="Normal"/>
    <w:next w:val="BodyText"/>
    <w:pPr>
      <w:suppressLineNumbers/>
      <w:pBdr>
        <w:bottom w:val="double" w:sz="1" w:space="0" w:color="808080"/>
      </w:pBdr>
      <w:spacing w:before="57" w:after="283"/>
    </w:pPr>
    <w:rPr>
      <w:sz w:val="12"/>
      <w:szCs w:val="12"/>
    </w:rPr>
  </w:style>
  <w:style w:type="paragraph" w:customStyle="1" w:styleId="Zwischenberschrift">
    <w:name w:val="Zwischenüberschrift"/>
    <w:basedOn w:val="Normal"/>
    <w:next w:val="BodyText"/>
    <w:pPr>
      <w:spacing w:before="170" w:after="57"/>
    </w:pPr>
    <w:rPr>
      <w:b/>
      <w:bCs/>
    </w:rPr>
  </w:style>
  <w:style w:type="paragraph" w:customStyle="1" w:styleId="Bildunterschrift">
    <w:name w:val="Bildunterschrift"/>
    <w:basedOn w:val="Normal"/>
    <w:next w:val="BodyText"/>
    <w:pPr>
      <w:spacing w:before="113" w:after="113"/>
    </w:pPr>
    <w:rPr>
      <w:sz w:val="20"/>
      <w:szCs w:val="20"/>
    </w:rPr>
  </w:style>
  <w:style w:type="paragraph" w:customStyle="1" w:styleId="Literatur">
    <w:name w:val="Literatur"/>
    <w:basedOn w:val="Normal"/>
    <w:pPr>
      <w:spacing w:before="57" w:line="100" w:lineRule="atLeast"/>
      <w:ind w:left="851" w:hanging="851"/>
      <w:jc w:val="left"/>
    </w:pPr>
    <w:rPr>
      <w:sz w:val="20"/>
    </w:rPr>
  </w:style>
  <w:style w:type="paragraph" w:customStyle="1" w:styleId="Folie1">
    <w:name w:val="Folie1"/>
    <w:basedOn w:val="Normal"/>
    <w:pPr>
      <w:tabs>
        <w:tab w:val="left" w:pos="567"/>
        <w:tab w:val="left" w:pos="851"/>
        <w:tab w:val="left" w:pos="1418"/>
        <w:tab w:val="left" w:pos="2268"/>
        <w:tab w:val="left" w:pos="3969"/>
        <w:tab w:val="left" w:pos="5670"/>
      </w:tabs>
    </w:pPr>
  </w:style>
  <w:style w:type="paragraph" w:customStyle="1" w:styleId="Folie2">
    <w:name w:val="Folie2"/>
    <w:pPr>
      <w:widowControl w:val="0"/>
      <w:suppressAutoHyphens/>
    </w:pPr>
    <w:rPr>
      <w:rFonts w:ascii="CG Times" w:eastAsia="Arial Unicode MS" w:hAnsi="CG Times"/>
      <w:sz w:val="24"/>
      <w:szCs w:val="24"/>
    </w:rPr>
  </w:style>
  <w:style w:type="paragraph" w:customStyle="1" w:styleId="Standard-B">
    <w:name w:val="Standard-B"/>
    <w:basedOn w:val="Normal"/>
    <w:pPr>
      <w:jc w:val="center"/>
    </w:pPr>
    <w:rPr>
      <w:sz w:val="22"/>
    </w:rPr>
  </w:style>
  <w:style w:type="paragraph" w:customStyle="1" w:styleId="WW-Textkrper-Einzug2">
    <w:name w:val="WW-Textkörper-Einzug 2"/>
    <w:basedOn w:val="Normal"/>
    <w:pPr>
      <w:ind w:left="1418" w:hanging="1418"/>
    </w:pPr>
  </w:style>
  <w:style w:type="paragraph" w:customStyle="1" w:styleId="Fazit">
    <w:name w:val="Fazit"/>
    <w:basedOn w:val="Normal"/>
    <w:pPr>
      <w:ind w:left="540" w:right="1700"/>
    </w:pPr>
  </w:style>
  <w:style w:type="paragraph" w:customStyle="1" w:styleId="WW-NurText">
    <w:name w:val="WW-Nur Text"/>
    <w:basedOn w:val="Normal"/>
    <w:rPr>
      <w:rFonts w:ascii="Courier New" w:hAnsi="Courier New"/>
      <w:sz w:val="20"/>
    </w:rPr>
  </w:style>
  <w:style w:type="paragraph" w:customStyle="1" w:styleId="Quellcode">
    <w:name w:val="Quellcode"/>
    <w:basedOn w:val="Normal"/>
    <w:pPr>
      <w:pBdr>
        <w:top w:val="single" w:sz="1" w:space="1" w:color="000000"/>
        <w:left w:val="single" w:sz="1" w:space="4" w:color="000000"/>
        <w:bottom w:val="single" w:sz="1" w:space="1" w:color="000000"/>
        <w:right w:val="single" w:sz="1" w:space="4" w:color="000000"/>
      </w:pBdr>
      <w:tabs>
        <w:tab w:val="left" w:pos="2185"/>
        <w:tab w:val="center" w:pos="5384"/>
        <w:tab w:val="right" w:pos="9636"/>
      </w:tabs>
      <w:ind w:left="205" w:right="475"/>
    </w:pPr>
    <w:rPr>
      <w:rFonts w:ascii="Courier New" w:hAnsi="Courier New"/>
      <w:sz w:val="20"/>
    </w:rPr>
  </w:style>
  <w:style w:type="paragraph" w:customStyle="1" w:styleId="Literatur-WI">
    <w:name w:val="Literatur-WI"/>
    <w:basedOn w:val="Literatur"/>
    <w:pPr>
      <w:ind w:left="550" w:hanging="550"/>
    </w:pPr>
  </w:style>
  <w:style w:type="paragraph" w:styleId="TOCHeading">
    <w:name w:val="TOC Heading"/>
    <w:basedOn w:val="Heading1"/>
    <w:next w:val="Normal"/>
    <w:uiPriority w:val="39"/>
    <w:unhideWhenUsed/>
    <w:qFormat/>
    <w:rsid w:val="00A913B1"/>
    <w:pPr>
      <w:keepLines/>
      <w:widowControl/>
      <w:numPr>
        <w:numId w:val="0"/>
      </w:numPr>
      <w:spacing w:before="240" w:after="0" w:line="259" w:lineRule="auto"/>
      <w:outlineLvl w:val="9"/>
    </w:pPr>
    <w:rPr>
      <w:rFonts w:ascii="Calibri Light" w:eastAsia="Times New Roman" w:hAnsi="Calibri Light" w:cs="Times New Roman"/>
      <w:b w:val="0"/>
      <w:bCs w:val="0"/>
      <w:color w:val="2F5496"/>
      <w:lang w:val="en-US" w:eastAsia="en-US"/>
    </w:rPr>
  </w:style>
  <w:style w:type="character" w:styleId="PlaceholderText">
    <w:name w:val="Placeholder Text"/>
    <w:basedOn w:val="DefaultParagraphFont"/>
    <w:uiPriority w:val="99"/>
    <w:semiHidden/>
    <w:rsid w:val="00190E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7F914-BBC6-43DE-A678-A12F70A0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723</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Links>
    <vt:vector size="24" baseType="variant">
      <vt:variant>
        <vt:i4>1245236</vt:i4>
      </vt:variant>
      <vt:variant>
        <vt:i4>20</vt:i4>
      </vt:variant>
      <vt:variant>
        <vt:i4>0</vt:i4>
      </vt:variant>
      <vt:variant>
        <vt:i4>5</vt:i4>
      </vt:variant>
      <vt:variant>
        <vt:lpwstr/>
      </vt:variant>
      <vt:variant>
        <vt:lpwstr>_Toc491877623</vt:lpwstr>
      </vt:variant>
      <vt:variant>
        <vt:i4>1245236</vt:i4>
      </vt:variant>
      <vt:variant>
        <vt:i4>14</vt:i4>
      </vt:variant>
      <vt:variant>
        <vt:i4>0</vt:i4>
      </vt:variant>
      <vt:variant>
        <vt:i4>5</vt:i4>
      </vt:variant>
      <vt:variant>
        <vt:lpwstr/>
      </vt:variant>
      <vt:variant>
        <vt:lpwstr>_Toc491877622</vt:lpwstr>
      </vt:variant>
      <vt:variant>
        <vt:i4>1245236</vt:i4>
      </vt:variant>
      <vt:variant>
        <vt:i4>8</vt:i4>
      </vt:variant>
      <vt:variant>
        <vt:i4>0</vt:i4>
      </vt:variant>
      <vt:variant>
        <vt:i4>5</vt:i4>
      </vt:variant>
      <vt:variant>
        <vt:lpwstr/>
      </vt:variant>
      <vt:variant>
        <vt:lpwstr>_Toc491877621</vt:lpwstr>
      </vt:variant>
      <vt:variant>
        <vt:i4>1245236</vt:i4>
      </vt:variant>
      <vt:variant>
        <vt:i4>2</vt:i4>
      </vt:variant>
      <vt:variant>
        <vt:i4>0</vt:i4>
      </vt:variant>
      <vt:variant>
        <vt:i4>5</vt:i4>
      </vt:variant>
      <vt:variant>
        <vt:lpwstr/>
      </vt:variant>
      <vt:variant>
        <vt:lpwstr>_Toc491877620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Spitta</dc:creator>
  <cp:keywords/>
  <cp:lastModifiedBy>Heiko Alexander Weber</cp:lastModifiedBy>
  <cp:revision>8</cp:revision>
  <cp:lastPrinted>1899-12-31T23:00:00Z</cp:lastPrinted>
  <dcterms:created xsi:type="dcterms:W3CDTF">2017-08-31T06:51:00Z</dcterms:created>
  <dcterms:modified xsi:type="dcterms:W3CDTF">2017-08-31T17:07:00Z</dcterms:modified>
</cp:coreProperties>
</file>