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SubtextAI — Orden de Creación de Ramas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Guía de desarrollo para equipo de 2 personas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Este documento define el orden realista de creación y trabajo en ramas para el proyecto SubtextAI. La secuencia prioriza la entrega incremental de valor: primero lo que desbloquea al resto, y nunca antes de que sea necesario.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Ramas Base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Crear siempre antes que cualquier otra cosa.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Producción. No se toca directamente. Solo recibe merges desde develop vía PR revisado.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Base de integración. Todas las ramas de feature/infra/test nacen y mueren aquí.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1 — Infraestructura y Cimientos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Las tres pueden trabajarse en paralelo. Sin ellas no hay entorno, no hay datos, no hay pipeline.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infra/azure-setup</w:t>
      </w:r>
    </w:p>
    <w:p>
      <w:r>
        <w:rPr>
          <w:rFonts w:ascii="Arial" w:cs="Arial" w:eastAsia="Arial" w:hAnsi="Arial"/>
          <w:sz w:val="22"/>
          <w:szCs w:val="22"/>
        </w:rPr>
        <w:t xml:space="preserve">Aprovisiona los recursos mínimos necesarios en Azure: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Service (backend .NET)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Web Apps (frontend React, se deja preparado aunque no se use hasta Fase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OpenAI con el modelo seleccionado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AI Search (instancia vacía, se indexará en Fase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Database for PostgreSQL o SQL Server según el esquema de Fase 1.2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 provisionar recursos que no se usen en las dos fases siguientes. Menos configuración inicial = menos deuda de infraestructura.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infra/database-schema</w:t>
      </w:r>
    </w:p>
    <w:p>
      <w:r>
        <w:rPr>
          <w:rFonts w:ascii="Arial" w:cs="Arial" w:eastAsia="Arial" w:hAnsi="Arial"/>
          <w:sz w:val="22"/>
          <w:szCs w:val="22"/>
        </w:rPr>
        <w:t xml:space="preserve">Define el modelo de datos mínimo funcional: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Tablas: traces, metrics,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Migraciones con EF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Índices sobre trace_id, created_at y user_id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 el esquema cambia más adelante, se hace una migración nueva. No diseñar para el futuro imaginado.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infra/cicd</w:t>
      </w:r>
    </w:p>
    <w:p>
      <w:r>
        <w:rPr>
          <w:rFonts w:ascii="Arial" w:cs="Arial" w:eastAsia="Arial" w:hAnsi="Arial"/>
          <w:sz w:val="22"/>
          <w:szCs w:val="22"/>
        </w:rPr>
        <w:t xml:space="preserve">Pipeline de CI/CD desde el primer commit útil: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y tests automáticos en cada push a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automático a staging al mergear en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 producción solo manual o por tag en main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Configurar CI/CD en Fase 1 evita el caos de "lo subo a mano" que se enquista en equipos pequeños.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2 — Backend Núcleo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Solo cuando infra/azure-setup e infra/database-schema estén mergeados en develop.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feature/backend-api</w:t>
      </w:r>
    </w:p>
    <w:p>
      <w:r>
        <w:rPr>
          <w:rFonts w:ascii="Arial" w:cs="Arial" w:eastAsia="Arial" w:hAnsi="Arial"/>
          <w:sz w:val="22"/>
          <w:szCs w:val="22"/>
        </w:rPr>
        <w:t xml:space="preserve">Endpoints REST mínimos para que el sistema funcione de extremo a extremo: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/analizar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/audit/{trace_id}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/metricas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/health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Los endpoints /evaluar y /prompts se añaden en Fases posteriores cuando los servicios que los alimentan existan. No definir contratos para funcionalidad que no existe.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feature/governance-pipeline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Depende de que feature/backend-api tenga su estructura básica mergeada.</w:t>
      </w:r>
    </w:p>
    <w:p>
      <w:r>
        <w:rPr>
          <w:rFonts w:ascii="Arial" w:cs="Arial" w:eastAsia="Arial" w:hAnsi="Arial"/>
          <w:sz w:val="22"/>
          <w:szCs w:val="22"/>
        </w:rPr>
        <w:t xml:space="preserve">Pipeline de gobernanza completo: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PolicyEngine — validación de contenido entrante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RagService — recuperación de contexto desde Azure AI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LlmService — llamada al modelo con el contexto 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TraceStore — persistencia de la traza completa en base de datos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3 — Componentes IA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Solo cuando el pipeline de gobernanza esté funcionando en staging. Primero el indexado, luego los tres en paralelo.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infra/indexing-pipeline</w:t>
      </w:r>
    </w:p>
    <w:p>
      <w:r>
        <w:rPr>
          <w:rFonts w:ascii="Arial" w:cs="Arial" w:eastAsia="Arial" w:hAnsi="Arial"/>
          <w:sz w:val="22"/>
          <w:szCs w:val="22"/>
        </w:rPr>
        <w:t xml:space="preserve">Prerequisito para cualquier funcionalidad RAG real. Indexa los libros de referencia (Gottman, Johnson) en Azure AI Search: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Chunking del contenido con solapamiento configurable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Vectorización con el modelo de embeddings seleccionado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Indexación y validación de búsqueda semántica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Sin este paso, el RAG trabaja contra un índice vacío. Es un bloqueante real, no burocrático.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feature/crisis-classifier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8 y 9. Requiere que infra/indexing-pipeline esté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Clasificador de crisis emocional con prompt especializado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crisis_detected: bool en el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activaciones en la tabla traces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feature/sentiment-analysis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7 y 9.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Análisis de sentimiento del mensaje de entrada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sentimiento en el response (positivo / neutro / negativo / mixto)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feature/prompt-versioning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7 y 8.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 prompt_versions con historial de cambios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GET /prompts con versión activa y comparativa de métricas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en equipo de 2, estos tres pueden hacerse secuencialmente si la carga lo exige. El paralelismo es una opción, no una obligación.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4 — Seguridad y Configuración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 el sistema funcional e integrado en staging. Las cuatro pueden trabajarse en paralelo.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feature/security-hardening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Sanitización y validación de payloads de entrada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Protección contra prompt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Headers HTTP de seguridad y configuración CORS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feature/auth-rate-limit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Identificación por API key o 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por usuario e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Respuesta HTTP 429 con Retry-After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Fusionado con security-hardening si el equipo prefiere una sola rama de seguridad. Son complementarios y el PR conjunto tiene sentido.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feature/config-management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flags para activar/desactivar componentes sin despliegue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Thresholds del RAG configurables por entorno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Azure Key Vault para secrets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feature/structured-logging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estructurado con correlación por trace_id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Niveles INFO / WARN / ERROR consistentes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Exportación a Azure Monitor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5 — Frontend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Una vez que la API es estable, el contrato está definido y security-hardening está integrado.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feature/frontend-ui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React desplegada en Azure Static Web Apps (ya provisionado en Fase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Formulario de análisis de 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Visualización de resultados: fuente citada, nivel de confianza, trace_id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visual de crisis detectada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6 — Optimización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Solo cuando el sistema completo funciona en producción y se conocen los cuellos de botella reales.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feature/cache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Caché de respuestas para reducir latencia y llamadas al modelo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from_cache: bool en el response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feature/cost-optimization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Estrategias de reducción de tokens por tipo de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Selección de modelo según complejidad de la consulta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control de gasto en Azure OpenAI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Estas dos ramas solo tienen sentido sobre datos reales de producción. Optimizar antes es prematura.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7 — Calidad y Monitoring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optimizado y estable. Dataset de evaluación y evaluador se crean juntos (17 y 18). El resto en paralelo.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test/evaluation-dataset + 18. feature/llm-evaluation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Crear y trabajar estas dos ramas en paralelo o en la misma rama si el equipo lo prefiere.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Conjunto curado de casos de prueba (test/evaluation-dataset)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Evaluador automático: grounding score, consistencia semántica, comparación entre versiones de prompt (feature/llm-evaluation)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test/backend-unit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20 y 21.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unitarios de PolicyEngine, RagService, CrisisClassifier y TraceStore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test/api-integration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19 y 21.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de integración sobre todos los endpoints REST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infra/monitoring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Paralelo con 19 y 20.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dashboards en Azure Monitor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sobre latencia, tasa de error y gasto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periódico de evaluación automática en Azure Functions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8 — Documentación Final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Cuando el sistema esté validado en producción. Se documenta el estado real, nunca el planificado.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22. docs/api-contract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 de API v2.0 con ejemplos de request/response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 de políticas activas y niveles de confianza del RAG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 docs/tfm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Memoria técnica con decisiones de arquitectura y ADR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Métricas reales de producción: latencia p95, grounding score, coste por request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 de Dependencias Clave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Estas son las dependencias que, si se ignoran, generan retrabajo o bloqueos reales: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feature/governance-pipeline necesita feature/backend-api con estructura básica mergeada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infra/indexing-pipeline debe estar completo antes de crisis-classifier, sentiment-analysis y prompt-versioning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feature/frontend-ui necesita feature/backend-api y feature/security-hardening integrados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feature/llm-evaluation y test/evaluation-dataset se crean y trabajan juntas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feature/cache y feature/cost-optimization solo tienen sentido sobre un sistema en producción con datos reales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docs/tfm y docs/api-contract se escriben siempre al final, sobre el estado real del sistema</w:t>
      </w:r>
    </w:p>
    <w:p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Notas para Equipo de 2 Personas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El paralelismo descrito es una capacidad máxima, no una obligación. En la práctica: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ramas marcadas como 'paralelo' pueden hacerse secuencialmente sin penalizar 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Priorizar siempre el camino crítico: lo que desbloquea al otro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PR pequeño mergeado vale más que una rama grande en desarrollo durante semanas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una fase se alarga, las fases siguientes esperan. No abrir ramas para trabajo que no empieza en los próximos 3-5 días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2026-05-13T03:39:38.701Z</dcterms:created>
  <dcterms:modified xsi:type="dcterms:W3CDTF">2026-05-13T03:39:38.701Z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