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RemoteAbility CIC – DPIA Example (Supabase &amp; Airtable)</w:t>
      </w:r>
    </w:p>
    <w:p>
      <w:r>
        <w:t>RemoteAbility CIC – Data Protection Impact Assessment (DPIA)</w:t>
        <w:br/>
        <w:t>System Example: Supabase &amp; Airtable Data Systems</w:t>
      </w:r>
    </w:p>
    <w:p>
      <w:r>
        <w:t>Last updated: [Insert date]</w:t>
        <w:br/>
        <w:t>Approved by: Data Protection Officer / Board of Directors</w:t>
      </w:r>
    </w:p>
    <w:p>
      <w:r>
        <w:t>1. DPIA Overview</w:t>
        <w:br/>
        <w:t>Project/Process Name: RemoteAbility Trainee Management System (Supabase + Airtable)</w:t>
        <w:br/>
        <w:t>Owner / Responsible Lead: [Andrew James‑Smith, Director]</w:t>
        <w:br/>
        <w:t>Date Started: January 2025</w:t>
        <w:br/>
        <w:t>Last Reviewed: [Insert]</w:t>
        <w:br/>
        <w:t>DPO Contact: [Insert email]</w:t>
      </w:r>
    </w:p>
    <w:p>
      <w:r>
        <w:t>2. Purpose of Processing</w:t>
        <w:br/>
        <w:t>RemoteAbility CIC collects and manages personal data from trainees, staff, partners, and volunteers to deliver training, monitor outcomes, and support Access to Work (AtW) funding. Supabase stores training and performance data; Airtable is used as a CRM for communication and reporting.</w:t>
      </w:r>
    </w:p>
    <w:p>
      <w:r>
        <w:t>3. Categories of Data Subjects and Data Types</w:t>
        <w:br/>
        <w:t>| Data Subject | Data Collected | Sensitivity Level | Source |</w:t>
        <w:br/>
        <w:t>| Trainees | Name, contact info, health/disability data, training outcomes | High | Registration forms |</w:t>
        <w:br/>
        <w:t>| Staff &amp; Volunteers | HR, DBS, references, contact info | Medium | HR records |</w:t>
        <w:br/>
        <w:t>| Partners &amp; Funders | Contact details, contracts | Low | Direct comms |</w:t>
        <w:br/>
        <w:t>| Website Users | Name, email, IP metadata | Low | Netlify forms |</w:t>
      </w:r>
    </w:p>
    <w:p>
      <w:r>
        <w:t>4. Lawful Basis for Processing (UK GDPR)</w:t>
        <w:br/>
        <w:t>| Purpose | Lawful Basis |</w:t>
        <w:br/>
        <w:t>| Trainee onboarding | Contract / Legitimate Interest |</w:t>
        <w:br/>
        <w:t>| Access to Work | Legal Obligation / Consent (special category) |</w:t>
        <w:br/>
        <w:t>| Employment tracking | Legitimate Interest |</w:t>
        <w:br/>
        <w:t>| Marketing updates | Consent |</w:t>
        <w:br/>
        <w:t>| Safeguarding | Vital Interests / Legal Obligation |</w:t>
      </w:r>
    </w:p>
    <w:p>
      <w:r>
        <w:t>5. Data Flow Map</w:t>
        <w:br/>
        <w:t>Inputs: Netlify → Airtable (automation) → Supabase (secure tables)</w:t>
        <w:br/>
        <w:t>Processing: Supabase Edge Functions apply RLS per role (Admin/Trainer/Trainee).</w:t>
        <w:br/>
        <w:t>Storage: Supabase (AES‑256 encrypted PostgreSQL, EU region); Airtable (encrypted cloud storage, access by key).</w:t>
        <w:br/>
        <w:t>Outputs: Anonymised reports for Board/funders; dashboards for trainees.</w:t>
        <w:br/>
        <w:t>Retention: 6 years for training/employment data; 7 years for financials.</w:t>
      </w:r>
    </w:p>
    <w:p>
      <w:r>
        <w:t>6. Security Measures</w:t>
        <w:br/>
        <w:t>| Control Area | Measure | Status |</w:t>
        <w:br/>
        <w:t>| Encryption in Transit | TLS enforced | Active |</w:t>
        <w:br/>
        <w:t>| Encryption at Rest | AES‑256 | Active |</w:t>
        <w:br/>
        <w:t>| Access Control | Supabase RLS + Airtable roles | Configured |</w:t>
        <w:br/>
        <w:t>| Authentication | JWT / 2FA | Configured |</w:t>
        <w:br/>
        <w:t>| Backups | Daily, 30‑day retention | Active |</w:t>
        <w:br/>
        <w:t>| Consent Tracking | Via Netlify forms + Airtable field | Implemented |</w:t>
        <w:br/>
        <w:t>| Audit Logs | Supabase Admin logs | Enabled |</w:t>
      </w:r>
    </w:p>
    <w:p>
      <w:r>
        <w:t>7. Risk Assessment Table</w:t>
        <w:br/>
        <w:t>| Risk | Likelihood | Impact | Mitigation |</w:t>
        <w:br/>
        <w:t>| Unauthorised data access | Low | High | RLS, encryption, MFA |</w:t>
        <w:br/>
        <w:t>| Data loss | Medium | Medium | Daily backups |</w:t>
        <w:br/>
        <w:t>| Data breach | Low | High | TLS, audit logs |</w:t>
        <w:br/>
        <w:t>| API key exposure | Low | High | Secure .env storage |</w:t>
      </w:r>
    </w:p>
    <w:p>
      <w:r>
        <w:t>8. Residual Risk Evaluation</w:t>
        <w:br/>
        <w:t>Residual risk: Low–Medium. Controls provide high assurance. Annual review required.</w:t>
      </w:r>
    </w:p>
    <w:p>
      <w:r>
        <w:t>9. Consultation</w:t>
        <w:br/>
        <w:t>ICO guidance reviewed; DPO and technical team consulted; user consent text reviewed with accessibility advisor.</w:t>
      </w:r>
    </w:p>
    <w:p>
      <w:r>
        <w:t>10. Sign-Off</w:t>
        <w:br/>
        <w:t>| Role | Name | Signature | Date |</w:t>
        <w:br/>
        <w:t>| Data Protection Officer | [Insert] |  |  |</w:t>
        <w:br/>
        <w:t>| Operations Director | Andrew James‑Smith |  |  |</w:t>
        <w:br/>
        <w:t>| Board Chair | [Insert] |  |  |</w:t>
      </w:r>
    </w:p>
    <w:p>
      <w:r>
        <w:t>© RemoteAbility CIC | Registered Community Interest Company | All rights reserved.</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RemoteAbility CIC | Registered Community Interest Company | All rights reserved.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