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RemoteAbility CIC – Financial Management Policy</w:t>
      </w:r>
    </w:p>
    <w:p>
      <w:r>
        <w:t>Last updated: [Insert date]</w:t>
      </w:r>
    </w:p>
    <w:p>
      <w:r>
        <w:t>Approved by: Board of Directors</w:t>
      </w:r>
    </w:p>
    <w:p>
      <w:r>
        <w:t>1. Purpose</w:t>
        <w:br/>
        <w:t>This policy establishes clear procedures for managing the organisation’s finances to ensure transparency, accountability, and sustainability. Sound financial control protects RemoteAbility CIC’s assets, ensures compliance with legal duties, and upholds confidence among funders, partners, and beneficiaries.</w:t>
      </w:r>
    </w:p>
    <w:p>
      <w:r>
        <w:t>2. Scope</w:t>
        <w:br/>
        <w:t>Applies to all Directors, employees, contractors, and volunteers who authorise, record, or handle financial transactions on behalf of the CIC.</w:t>
      </w:r>
    </w:p>
    <w:p>
      <w:r>
        <w:t>3. Principles</w:t>
        <w:br/>
        <w:t>- Stewardship – All funds must be used solely to further the CIC’s community benefit.</w:t>
        <w:br/>
        <w:t>- Transparency – Financial decisions and reporting must be open, documented, and auditable.</w:t>
        <w:br/>
        <w:t>- Accountability – No individual may authorise or approve their own expenditure or reimbursement.</w:t>
        <w:br/>
        <w:t>- Prudence – Budgets and reserves must reflect realistic forecasts and maintain solvency at all times.</w:t>
      </w:r>
    </w:p>
    <w:p>
      <w:r>
        <w:t>4. Governance &amp; Oversight</w:t>
        <w:br/>
        <w:t>- The Board of Directors has ultimate responsibility for financial integrity and approves budgets, accounts, and annual reports.</w:t>
        <w:br/>
        <w:t>- A Finance Lead / Treasurer monitors day-to-day finances, prepares management accounts, and liaises with accountants.</w:t>
        <w:br/>
        <w:t>- External independent examination or audit will be commissioned where legally required or deemed good practice.</w:t>
      </w:r>
    </w:p>
    <w:p>
      <w:r>
        <w:t>5. Budgeting &amp; Planning</w:t>
        <w:br/>
        <w:t>- Annual budgets are prepared before the start of each financial year and approved by the Board.</w:t>
        <w:br/>
        <w:t>- Variances &gt; 10 % from approved budgets must be reported with explanations at the next Board meeting.</w:t>
        <w:br/>
        <w:t>- Restricted and unrestricted funds must be recorded separately.</w:t>
      </w:r>
    </w:p>
    <w:p>
      <w:r>
        <w:t>6. Banking &amp; Payments</w:t>
        <w:br/>
        <w:t>- Accounts are held in the CIC’s name only.</w:t>
        <w:br/>
        <w:t>- Dual authorisation is required for all payments above £500.</w:t>
        <w:br/>
        <w:t>- Online banking access is restricted to authorised signatories.</w:t>
        <w:br/>
        <w:t>- Cash transactions are avoided where possible; petty-cash limits £100.</w:t>
      </w:r>
    </w:p>
    <w:p>
      <w:r>
        <w:t>7. Income &amp; Invoicing</w:t>
        <w:br/>
        <w:t>- All income (grants, commissions, donations, contracts) must be receipted and recorded in the accounts system.</w:t>
        <w:br/>
        <w:t>- Invoices include company name, address, CIC number, and bank details.</w:t>
        <w:br/>
        <w:t>- VAT obligations will be reviewed annually; registration occurs when thresholds are met.</w:t>
      </w:r>
    </w:p>
    <w:p>
      <w:r>
        <w:t>8. Expenses &amp; Procurement</w:t>
        <w:br/>
        <w:t>- Claims require receipts and line-manager approval.</w:t>
        <w:br/>
        <w:t>- Procurement above £1,000 requires two comparative quotes.</w:t>
        <w:br/>
        <w:t>- Conflicts of interest must be declared and recorded in the Conflict Register.</w:t>
      </w:r>
    </w:p>
    <w:p>
      <w:r>
        <w:t>9. Payroll &amp; Remuneration</w:t>
        <w:br/>
        <w:t>- Staff and contractor payments comply with UK employment law and HMRC reporting (Real Time Information).</w:t>
        <w:br/>
        <w:t>- Directors may only receive reasonable payments for services authorised by the Board and recorded in minutes.</w:t>
      </w:r>
    </w:p>
    <w:p>
      <w:r>
        <w:t>10. Reserves &amp; Asset Management</w:t>
        <w:br/>
        <w:t>- The CIC aims to hold reserves covering at least three months of core expenditure.</w:t>
        <w:br/>
        <w:t>- Capital assets are recorded in an Asset Register and insured appropriately.</w:t>
      </w:r>
    </w:p>
    <w:p>
      <w:r>
        <w:t>11. Financial Reporting &amp; Audit</w:t>
        <w:br/>
        <w:t>- Management accounts are produced quarterly and reviewed by the Board.</w:t>
        <w:br/>
        <w:t>- Annual accounts are prepared in accordance with CIC Regulations and filed with Companies House.</w:t>
        <w:br/>
        <w:t>- The Board reviews and signs accounts within nine months of year-end.</w:t>
      </w:r>
    </w:p>
    <w:p>
      <w:r>
        <w:t>12. Fraud &amp; Irregularity</w:t>
        <w:br/>
        <w:t>- Suspected fraud must be reported immediately to the Chair and investigated under the Whistleblowing Policy.</w:t>
        <w:br/>
        <w:t>- Proven fraud may result in dismissal and legal action.</w:t>
      </w:r>
    </w:p>
    <w:p>
      <w:r>
        <w:t>13. Review</w:t>
        <w:br/>
        <w:t>Reviewed annually or sooner if there are changes in law or funding conditions.</w:t>
      </w:r>
    </w:p>
    <w:p>
      <w:r>
        <w:t>Chair of the Board: __________________ Date: 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RemoteAbility CIC | Registered Community Interest Company |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