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Recruitment &amp; Safer Employment Policy</w:t>
      </w:r>
    </w:p>
    <w:p>
      <w:r>
        <w:t>Last updated: [Insert date]</w:t>
      </w:r>
    </w:p>
    <w:p>
      <w:r>
        <w:t>Approved by: Board of Directors</w:t>
      </w:r>
    </w:p>
    <w:p>
      <w:r>
        <w:t>1. Purpose</w:t>
        <w:br/>
        <w:t>This policy outlines how RemoteAbility CIC ensures that all recruitment and employment practices are fair, transparent, and safe. Our aim is to attract, select, and retain individuals who share our values of inclusion, integrity, and empowerment — while maintaining the highest safeguarding standards for trainees and service users.</w:t>
      </w:r>
    </w:p>
    <w:p>
      <w:r>
        <w:t>2. Scope</w:t>
        <w:br/>
        <w:t>This policy applies to:</w:t>
        <w:br/>
        <w:t>- All permanent, temporary, and freelance staff.</w:t>
        <w:br/>
        <w:t>- All trainers, mentors, and volunteers.</w:t>
        <w:br/>
        <w:t>- All Board and advisory appointments.</w:t>
      </w:r>
    </w:p>
    <w:p>
      <w:r>
        <w:t>It covers recruitment, selection, pre-employment checks, induction, and re-screening where appropriate.</w:t>
      </w:r>
    </w:p>
    <w:p>
      <w:r>
        <w:t>3. Principles</w:t>
        <w:br/>
        <w:t>- Equality &amp; Inclusion – Recruitment decisions are based solely on skills, experience, and values alignment. No candidate will be treated less favourably because of disability, gender, age, race, religion, sexual orientation, or any protected characteristic under the Equality Act 2010.</w:t>
        <w:br/>
        <w:t>- Transparency – Roles are advertised clearly with fair and accessible selection criteria.</w:t>
        <w:br/>
        <w:t>- Safeguarding – All staff, contractors, and volunteers working with vulnerable adults must complete relevant checks and training prior to engagement.</w:t>
        <w:br/>
        <w:t>- Accessibility – Recruitment materials, interviews, and onboarding processes will include reasonable adjustments to support applicants with disabilities or access needs.</w:t>
      </w:r>
    </w:p>
    <w:p>
      <w:r>
        <w:t>4. Recruitment Process</w:t>
        <w:br/>
        <w:t>a. Job Design &amp; Advertising</w:t>
        <w:br/>
        <w:t>- All job descriptions include key duties, person specifications, and safeguarding responsibilities.</w:t>
        <w:br/>
        <w:t>- Opportunities are advertised widely and in accessible formats.</w:t>
      </w:r>
    </w:p>
    <w:p>
      <w:r>
        <w:t>b. Application &amp; Shortlisting</w:t>
        <w:br/>
        <w:t>- All applicants complete a standardised application form or submit a CV and cover letter.</w:t>
        <w:br/>
        <w:t>- Shortlisting is conducted using objective, job-related criteria.</w:t>
      </w:r>
    </w:p>
    <w:p>
      <w:r>
        <w:t>c. Interview &amp; Assessment</w:t>
        <w:br/>
        <w:t>- Interviews are conducted by at least two trained staff or Directors.</w:t>
        <w:br/>
        <w:t>- Questions assess both technical ability and commitment to equality, inclusion, and safeguarding.</w:t>
        <w:br/>
        <w:t>- Reasonable adjustments are offered for all interviewees.</w:t>
      </w:r>
    </w:p>
    <w:p>
      <w:r>
        <w:t>d. Pre-Employment Checks</w:t>
        <w:br/>
        <w:t>For all roles involving contact with trainees, personal data, or vulnerable adults:</w:t>
        <w:br/>
        <w:t>- Enhanced DBS check (with barred list check if required).</w:t>
        <w:br/>
        <w:t>- Identity verification and right-to-work documentation.</w:t>
        <w:br/>
        <w:t>- Reference checks covering at least two years of employment or education history.</w:t>
        <w:br/>
        <w:t>- Self-declaration of any relevant convictions (in line with the Rehabilitation of Offenders Act 1974).</w:t>
      </w:r>
    </w:p>
    <w:p>
      <w:r>
        <w:t>5. Volunteers, Trainers &amp; Contractors</w:t>
        <w:br/>
        <w:t>Volunteers and contractors undergo the same safeguarding checks and sign a Code of Conduct before starting work. Training providers or external partners must evidence that their staff hold valid DBS clearance and appropriate safeguarding training.</w:t>
      </w:r>
    </w:p>
    <w:p>
      <w:r>
        <w:t>6. Safeguarding in Employment</w:t>
        <w:br/>
        <w:t>- All employees, trainers, and volunteers are required to read and sign the Safeguarding Policy during induction.</w:t>
        <w:br/>
        <w:t>- Concerns about a candidate’s suitability are referred to the Designated Safeguarding Lead and may result in a conditional offer being withdrawn.</w:t>
      </w:r>
    </w:p>
    <w:p>
      <w:r>
        <w:t>7. Record Keeping &amp; Data Protection</w:t>
        <w:br/>
        <w:t>Recruitment records (applications, DBS results, reference checks) are held securely in accordance with UK GDPR 2018. Data is retained for a maximum of 6 months for unsuccessful candidates and securely deleted thereafter.</w:t>
      </w:r>
    </w:p>
    <w:p>
      <w:r>
        <w:t>8. Review &amp; Monitoring</w:t>
        <w:br/>
        <w:t>The Board reviews recruitment and DBS compliance annually. Trends and feedback are used to improve equity and safeguarding across all hiring practices.</w:t>
      </w:r>
    </w:p>
    <w:p>
      <w:r>
        <w:t>Chair of the Board: ___________________________</w:t>
        <w:br/>
        <w:t>Date: 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RemoteAbility CIC | Registered Community Interest Company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