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RemoteAbility CIC – Social Value Statement (Lancashire &amp; Preston Example)</w:t>
      </w:r>
    </w:p>
    <w:p>
      <w:r>
        <w:t>RemoteAbility CIC – Social Value Statement (Lancashire &amp; Preston Example)</w:t>
      </w:r>
    </w:p>
    <w:p>
      <w:r>
        <w:t>Last updated: October 2025</w:t>
        <w:br/>
        <w:t>Approved by: Board of Directors</w:t>
      </w:r>
    </w:p>
    <w:p>
      <w:r>
        <w:t>1. Our Purpose and Mission</w:t>
        <w:br/>
        <w:t>RemoteAbility CIC is a UK social enterprise closing the disability employment gap through accessible digital training and remote-work opportunities. We reinvest 100% of surplus income into supporting disabled and neurodivergent individuals to develop digital skills and gain meaningful remote employment.</w:t>
      </w:r>
    </w:p>
    <w:p>
      <w:r>
        <w:t>2. Our Social Value Commitment</w:t>
        <w:br/>
        <w:t>A. Inclusive Employment &amp; Skills</w:t>
        <w:br/>
        <w:t>- Trained and employed over 120 disabled and neurodivergent residents across Lancashire and the North West.</w:t>
        <w:br/>
        <w:t>- Supported participants to secure Access to Work grants totalling £420,000.</w:t>
        <w:br/>
        <w:t>- Maintained a 78% progression-to-employment rate within six months.</w:t>
      </w:r>
    </w:p>
    <w:p>
      <w:r>
        <w:t>B. Economic Growth &amp; Local Prosperity</w:t>
        <w:br/>
        <w:t>- Created flexible remote-work roles for local SMEs and suppliers through ethical outsourcing.</w:t>
        <w:br/>
        <w:t>- Partnered with Preston City Council and Lancashire County Council to deliver digital inclusion pilots.</w:t>
        <w:br/>
        <w:t>- Reinvested surplus funds into training equipment and accessibility software for new cohorts.</w:t>
      </w:r>
    </w:p>
    <w:p>
      <w:r>
        <w:t>C. Reducing Inequality</w:t>
        <w:br/>
        <w:t>- Delivered tailored, accessible training aligned with the Equality Act 2010.</w:t>
        <w:br/>
        <w:t>- Provided barrier-free recruitment and flexible work options for people unable to commute.</w:t>
        <w:br/>
        <w:t>- Embedded inclusive design principles into all digital platforms.</w:t>
      </w:r>
    </w:p>
    <w:p>
      <w:r>
        <w:t>D. Wellbeing &amp; Community</w:t>
        <w:br/>
        <w:t>- Operated peer mentoring and wellbeing support groups with measurable wellbeing improvements (+3.2) and confidence gains (+3.4) on a 10-point scale.</w:t>
        <w:br/>
        <w:t>- Delivered 400+ hours of one-to-one coaching and accessibility mentoring.</w:t>
      </w:r>
    </w:p>
    <w:p>
      <w:r>
        <w:t>E. Environmental Responsibility</w:t>
        <w:br/>
        <w:t>- Fully remote model reducing commuting emissions by over 90% compared to office-based work.</w:t>
        <w:br/>
        <w:t>- Promoting sustainable digital practices and paperless operations.</w:t>
      </w:r>
    </w:p>
    <w:p>
      <w:r>
        <w:t>3. Measuring Our Impact</w:t>
        <w:br/>
        <w:t>Core KPIs include:</w:t>
        <w:br/>
        <w:t>- Trainees enrolled, trained, and employed</w:t>
        <w:br/>
        <w:t>- Access to Work grants secured</w:t>
        <w:br/>
        <w:t>- Average time to employment (9 weeks)</w:t>
        <w:br/>
        <w:t>- Wellbeing and confidence improvement metrics</w:t>
        <w:br/>
        <w:t>- Number of partner organisations engaged</w:t>
        <w:br/>
        <w:t>Impact data is reviewed quarterly and published annually in the CIC34 and Impact Report.</w:t>
      </w:r>
    </w:p>
    <w:p>
      <w:r>
        <w:t>4. Local and Regional Focus</w:t>
        <w:br/>
        <w:t>We collaborate with:</w:t>
        <w:br/>
        <w:t>- Lancashire County Council</w:t>
        <w:br/>
        <w:t>- Preston City Council</w:t>
        <w:br/>
        <w:t>- Inclusion North</w:t>
        <w:br/>
        <w:t>- DWP Access to Work regional teams</w:t>
        <w:br/>
        <w:t>- Local charities and training providers</w:t>
        <w:br/>
        <w:t>Our programmes align with Levelling Up priorities by increasing regional participation and digital inclusion.</w:t>
      </w:r>
    </w:p>
    <w:p>
      <w:r>
        <w:t>5. Value for Public Procurement</w:t>
        <w:br/>
        <w:t>Working with RemoteAbility CIC directly contributes to:</w:t>
        <w:br/>
        <w:t>- Theme 1: COVID-19 Recovery – Supporting employment and skills for disadvantaged groups.</w:t>
        <w:br/>
        <w:t>- Theme 3: Equal Opportunity – Tackling inequality and promoting inclusive growth.</w:t>
        <w:br/>
        <w:t>- Theme 5: Innovation – Introducing AI-enabled remote training tools for social impact.</w:t>
        <w:br/>
        <w:t>All impact is measurable and verified for inclusion in social value reporting frameworks.</w:t>
      </w:r>
    </w:p>
    <w:p>
      <w:r>
        <w:t>6. Governance and Accountability</w:t>
        <w:br/>
        <w:t>Oversight is provided by a diverse Board of Directors, including members with lived experience of disability. Annual Impact Reports and audited accounts are published to maintain transparency and integrity.</w:t>
      </w:r>
    </w:p>
    <w:p>
      <w:r>
        <w:t>7. Our Social Value Pledge</w:t>
        <w:br/>
        <w:t>“Every trainee we equip, every job we create, and every barrier we remove contributes to a more inclusive, connected, and sustainable economy for Lancashire and beyond.”</w:t>
      </w:r>
    </w:p>
    <w:p>
      <w:r>
        <w:t>8. Contact</w:t>
        <w:br/>
        <w:t>Email: info@remoteabilitycic.org</w:t>
        <w:br/>
        <w:t>Website: www.remoteabilitycic.org</w:t>
        <w:br/>
        <w:t>Registered Address: [Insert address]</w:t>
      </w:r>
    </w:p>
    <w:p>
      <w:r>
        <w:t>© RemoteAbility CIC | Registered Community Interest Company | All rights reserved.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RemoteAbility CIC | Registered Community Interest Company | All rights reserved.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