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Social Value Statement (Template)</w:t>
      </w:r>
    </w:p>
    <w:p>
      <w:r>
        <w:t>RemoteAbility CIC – Social Value Statement (Template)</w:t>
      </w:r>
    </w:p>
    <w:p>
      <w:r>
        <w:t>Last updated: [Insert date]</w:t>
        <w:br/>
        <w:t>Approved by: Board of Directors</w:t>
      </w:r>
    </w:p>
    <w:p>
      <w:r>
        <w:t>1. Our Purpose and Mission</w:t>
        <w:br/>
        <w:t>RemoteAbility CIC is a UK social enterprise dedicated to closing the disability employment gap through accessible digital training and remote-work opportunities. This section can be tailored to describe the bidder’s mission and community objectives.</w:t>
      </w:r>
    </w:p>
    <w:p>
      <w:r>
        <w:t>2. Our Social Value Commitment</w:t>
        <w:br/>
        <w:t>Describe your organisation’s core social value themes and actions, such as:</w:t>
        <w:br/>
        <w:t>- Inclusive Employment &amp; Skills</w:t>
        <w:br/>
        <w:t>- Economic Growth &amp; Local Prosperity</w:t>
        <w:br/>
        <w:t>- Reducing Inequality</w:t>
        <w:br/>
        <w:t>- Wellbeing &amp; Community</w:t>
        <w:br/>
        <w:t>- Environmental Responsibility</w:t>
      </w:r>
    </w:p>
    <w:p>
      <w:r>
        <w:t>3. Measuring Our Impact</w:t>
        <w:br/>
        <w:t>List or link to key KPIs and impact metrics (e.g., number of people trained, employed, grants secured, wellbeing scores, diversity stats).</w:t>
      </w:r>
    </w:p>
    <w:p>
      <w:r>
        <w:t>4. Local and Regional Focus</w:t>
        <w:br/>
        <w:t>Adapt this section to highlight local council, regional, or community partnerships relevant to the tender area.</w:t>
      </w:r>
    </w:p>
    <w:p>
      <w:r>
        <w:t>5. Value for Public Procurement</w:t>
        <w:br/>
        <w:t>Explain how your activities align with the UK Government’s Social Value Model (PPN 06/20) and local authority objectives.</w:t>
      </w:r>
    </w:p>
    <w:p>
      <w:r>
        <w:t>6. Governance and Accountability</w:t>
        <w:br/>
        <w:t>Summarise governance structure, reporting frequency, and assurance measures (Board oversight, CIC34, annual review).</w:t>
      </w:r>
    </w:p>
    <w:p>
      <w:r>
        <w:t>7. Our Social Value Pledge</w:t>
        <w:br/>
        <w:t>Provide a concise, values-driven statement for inclusion in tenders and procurement frameworks.</w:t>
      </w:r>
    </w:p>
    <w:p>
      <w:r>
        <w:t>8. Contact</w:t>
        <w:br/>
        <w:t>Email:</w:t>
        <w:br/>
        <w:t>Website:</w:t>
        <w:br/>
        <w:t>Registered Address: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