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26D1" w:rsidRPr="001F2CAC" w:rsidRDefault="00F226D1" w:rsidP="00F226D1">
      <w:pPr>
        <w:spacing w:line="276" w:lineRule="auto"/>
        <w:jc w:val="center"/>
        <w:rPr>
          <w:rFonts w:ascii="Garamond" w:hAnsi="Garamond"/>
          <w:b/>
          <w:sz w:val="14"/>
          <w:szCs w:val="24"/>
        </w:rPr>
      </w:pPr>
      <w:bookmarkStart w:id="0" w:name="_Hlk486358050"/>
    </w:p>
    <w:p w:rsidR="00F226D1" w:rsidRPr="001F2CAC" w:rsidRDefault="00F226D1" w:rsidP="00F226D1">
      <w:pPr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CROSS RIVER</w:t>
      </w:r>
      <w:r w:rsidRPr="001F2CAC">
        <w:rPr>
          <w:rFonts w:ascii="Garamond" w:hAnsi="Garamond"/>
          <w:b/>
          <w:sz w:val="24"/>
          <w:szCs w:val="24"/>
        </w:rPr>
        <w:t xml:space="preserve"> STATE INTERNAL REVENUE SERVICE </w:t>
      </w:r>
    </w:p>
    <w:p w:rsidR="00F226D1" w:rsidRPr="001F2CAC" w:rsidRDefault="00F226D1" w:rsidP="00F226D1">
      <w:pPr>
        <w:spacing w:line="276" w:lineRule="auto"/>
        <w:jc w:val="center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GOVERNOR’S SUMMARY</w:t>
      </w:r>
    </w:p>
    <w:p w:rsidR="00F226D1" w:rsidRPr="001F2CAC" w:rsidRDefault="00F226D1" w:rsidP="00F226D1">
      <w:pPr>
        <w:spacing w:line="276" w:lineRule="auto"/>
        <w:jc w:val="center"/>
        <w:rPr>
          <w:rFonts w:ascii="Garamond" w:hAnsi="Garamond"/>
          <w:i/>
          <w:sz w:val="2"/>
          <w:szCs w:val="24"/>
        </w:rPr>
      </w:pPr>
    </w:p>
    <w:p w:rsidR="00F226D1" w:rsidRPr="001F2CAC" w:rsidRDefault="00F226D1" w:rsidP="00F226D1">
      <w:pPr>
        <w:rPr>
          <w:rFonts w:ascii="Garamond" w:hAnsi="Garamond" w:cs="Times New Roman"/>
          <w:noProof/>
          <w:sz w:val="2"/>
          <w:szCs w:val="24"/>
        </w:rPr>
      </w:pPr>
      <w:r w:rsidRPr="001F2CAC">
        <w:rPr>
          <w:rFonts w:ascii="Garamond" w:hAnsi="Garamond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6D06830" wp14:editId="2439AF03">
            <wp:simplePos x="0" y="0"/>
            <wp:positionH relativeFrom="column">
              <wp:posOffset>76200</wp:posOffset>
            </wp:positionH>
            <wp:positionV relativeFrom="page">
              <wp:posOffset>2034540</wp:posOffset>
            </wp:positionV>
            <wp:extent cx="419100" cy="419100"/>
            <wp:effectExtent l="0" t="0" r="0" b="0"/>
            <wp:wrapSquare wrapText="bothSides"/>
            <wp:docPr id="15" name="Graphic 15" descr="Me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?provider=MicrosoftIcon&amp;fileName=Medal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226D1" w:rsidRPr="001F2CAC" w:rsidRDefault="00F226D1" w:rsidP="00F226D1">
      <w:pPr>
        <w:rPr>
          <w:rFonts w:ascii="Garamond" w:hAnsi="Garamond" w:cs="Times New Roman"/>
          <w:noProof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>Overall Tax Governance Score</w:t>
      </w:r>
      <w:r w:rsidRPr="001F2CAC">
        <w:rPr>
          <w:rFonts w:ascii="Garamond" w:hAnsi="Garamond" w:cs="Times New Roman"/>
          <w:noProof/>
          <w:sz w:val="24"/>
          <w:szCs w:val="24"/>
        </w:rPr>
        <w:t>:</w:t>
      </w:r>
      <w:r>
        <w:rPr>
          <w:rFonts w:ascii="Garamond" w:hAnsi="Garamond"/>
          <w:sz w:val="24"/>
          <w:szCs w:val="24"/>
        </w:rPr>
        <w:t xml:space="preserve"> 71</w:t>
      </w:r>
      <w:r w:rsidRPr="001F2CAC">
        <w:rPr>
          <w:rFonts w:ascii="Garamond" w:hAnsi="Garamond"/>
          <w:sz w:val="24"/>
          <w:szCs w:val="24"/>
        </w:rPr>
        <w:t>.</w:t>
      </w:r>
      <w:r>
        <w:rPr>
          <w:rFonts w:ascii="Garamond" w:hAnsi="Garamond"/>
          <w:sz w:val="24"/>
          <w:szCs w:val="24"/>
        </w:rPr>
        <w:t>33</w:t>
      </w:r>
      <w:r w:rsidRPr="001F2CAC">
        <w:rPr>
          <w:rFonts w:ascii="Garamond" w:hAnsi="Garamond"/>
          <w:sz w:val="24"/>
          <w:szCs w:val="24"/>
        </w:rPr>
        <w:t xml:space="preserve"> percent</w:t>
      </w:r>
    </w:p>
    <w:p w:rsidR="00F226D1" w:rsidRPr="001F2CAC" w:rsidRDefault="00F226D1" w:rsidP="00F226D1">
      <w:pPr>
        <w:rPr>
          <w:rFonts w:ascii="Garamond" w:hAnsi="Garamond" w:cs="Times New Roman"/>
          <w:noProof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3FBDB0F" wp14:editId="000FA78B">
            <wp:simplePos x="0" y="0"/>
            <wp:positionH relativeFrom="column">
              <wp:posOffset>106680</wp:posOffset>
            </wp:positionH>
            <wp:positionV relativeFrom="paragraph">
              <wp:posOffset>186055</wp:posOffset>
            </wp:positionV>
            <wp:extent cx="419100" cy="419100"/>
            <wp:effectExtent l="0" t="0" r="0" b="0"/>
            <wp:wrapTight wrapText="bothSides">
              <wp:wrapPolygon edited="0">
                <wp:start x="1964" y="1964"/>
                <wp:lineTo x="0" y="18655"/>
                <wp:lineTo x="9818" y="18655"/>
                <wp:lineTo x="18655" y="16691"/>
                <wp:lineTo x="20618" y="14727"/>
                <wp:lineTo x="20618" y="1964"/>
                <wp:lineTo x="1964" y="1964"/>
              </wp:wrapPolygon>
            </wp:wrapTight>
            <wp:docPr id="16" name="Graphic 16" descr="Tea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?provider=MicrosoftIcon&amp;fileName=Teacher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226D1" w:rsidRPr="002073EA" w:rsidRDefault="00F226D1" w:rsidP="00F226D1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 xml:space="preserve">Key Highlights </w:t>
      </w:r>
    </w:p>
    <w:p w:rsidR="00F226D1" w:rsidRDefault="00F226D1" w:rsidP="00F226D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Commendable practices were recorded in areas</w:t>
      </w:r>
      <w:r>
        <w:rPr>
          <w:rFonts w:ascii="Garamond" w:hAnsi="Garamond"/>
          <w:sz w:val="24"/>
          <w:szCs w:val="24"/>
        </w:rPr>
        <w:t xml:space="preserve"> such as the availability and sufficiency of budgeted funding, the use of a centrally automated platform for tax collection, and the creation of a </w:t>
      </w:r>
      <w:r w:rsidR="0029625E">
        <w:rPr>
          <w:rFonts w:ascii="Garamond" w:hAnsi="Garamond"/>
          <w:sz w:val="24"/>
          <w:szCs w:val="24"/>
        </w:rPr>
        <w:t xml:space="preserve">special </w:t>
      </w:r>
      <w:r>
        <w:rPr>
          <w:rFonts w:ascii="Garamond" w:hAnsi="Garamond"/>
          <w:sz w:val="24"/>
          <w:szCs w:val="24"/>
        </w:rPr>
        <w:t>tax enforcement unit to oversee high net worth individuals in the State.</w:t>
      </w:r>
    </w:p>
    <w:p w:rsidR="00F226D1" w:rsidRDefault="00F226D1" w:rsidP="00F226D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F226D1">
        <w:rPr>
          <w:rFonts w:ascii="Garamond" w:hAnsi="Garamond"/>
          <w:sz w:val="24"/>
          <w:szCs w:val="24"/>
        </w:rPr>
        <w:t xml:space="preserve">Challenges include poor ICT capability </w:t>
      </w:r>
      <w:r w:rsidR="0029625E">
        <w:rPr>
          <w:rFonts w:ascii="Garamond" w:hAnsi="Garamond"/>
          <w:sz w:val="24"/>
          <w:szCs w:val="24"/>
        </w:rPr>
        <w:t>in</w:t>
      </w:r>
      <w:r w:rsidRPr="00F226D1">
        <w:rPr>
          <w:rFonts w:ascii="Garamond" w:hAnsi="Garamond"/>
          <w:sz w:val="24"/>
          <w:szCs w:val="24"/>
        </w:rPr>
        <w:t xml:space="preserve"> 15 out of the 19 field offices in the State</w:t>
      </w:r>
      <w:r>
        <w:rPr>
          <w:rFonts w:ascii="Garamond" w:hAnsi="Garamond"/>
          <w:sz w:val="24"/>
          <w:szCs w:val="24"/>
        </w:rPr>
        <w:t>, absence of tax education and complaints manuals</w:t>
      </w:r>
      <w:r w:rsidRPr="00F226D1">
        <w:rPr>
          <w:rFonts w:ascii="Garamond" w:hAnsi="Garamond"/>
          <w:sz w:val="24"/>
          <w:szCs w:val="24"/>
        </w:rPr>
        <w:t xml:space="preserve"> and the non-implementation of a competitive salary structure and performance pay scheme for staff.  </w:t>
      </w:r>
    </w:p>
    <w:p w:rsidR="00F226D1" w:rsidRPr="00F226D1" w:rsidRDefault="00F226D1" w:rsidP="00F226D1">
      <w:pPr>
        <w:pStyle w:val="ListParagraph"/>
        <w:spacing w:line="360" w:lineRule="auto"/>
        <w:jc w:val="both"/>
        <w:rPr>
          <w:rFonts w:ascii="Garamond" w:hAnsi="Garamond"/>
          <w:sz w:val="24"/>
          <w:szCs w:val="24"/>
        </w:rPr>
      </w:pPr>
    </w:p>
    <w:tbl>
      <w:tblPr>
        <w:tblW w:w="9108" w:type="dxa"/>
        <w:jc w:val="center"/>
        <w:tblLook w:val="04A0" w:firstRow="1" w:lastRow="0" w:firstColumn="1" w:lastColumn="0" w:noHBand="0" w:noVBand="1"/>
      </w:tblPr>
      <w:tblGrid>
        <w:gridCol w:w="6950"/>
        <w:gridCol w:w="2158"/>
      </w:tblGrid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  <w:t>ASSESSMENT AREAS</w:t>
            </w:r>
          </w:p>
        </w:tc>
        <w:tc>
          <w:tcPr>
            <w:tcW w:w="2158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  <w:t>Q1, 2017</w:t>
            </w: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sz w:val="23"/>
                <w:szCs w:val="23"/>
              </w:rPr>
              <w:t>Overall Tax Performance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  <w:t>71.33</w:t>
            </w:r>
          </w:p>
        </w:tc>
      </w:tr>
      <w:tr w:rsidR="00F226D1" w:rsidRPr="00F427BA" w:rsidTr="001E3C23">
        <w:trPr>
          <w:trHeight w:val="174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  <w:t>Tax Administration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color w:val="993300"/>
                <w:sz w:val="23"/>
                <w:szCs w:val="23"/>
              </w:rPr>
              <w:t>71.47</w:t>
            </w: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proofErr w:type="spellStart"/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Organisational</w:t>
            </w:r>
            <w:proofErr w:type="spellEnd"/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 xml:space="preserve"> and institutional arrangements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79</w:t>
            </w: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.</w:t>
            </w: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72</w:t>
            </w: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Availability and sufficiency of IRS budget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100.00</w:t>
            </w: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Salary incentives, IRS Staff skills and training levels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45.83</w:t>
            </w: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SBIRS outreach in districts (no. of tax offices)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60</w:t>
            </w: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.</w:t>
            </w: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32</w:t>
            </w:r>
          </w:p>
        </w:tc>
      </w:tr>
      <w:tr w:rsidR="00F226D1" w:rsidRPr="00F427BA" w:rsidTr="001E3C23">
        <w:trPr>
          <w:trHeight w:val="116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  <w:t>Tax Procedures (registration, filling, assessment and payment)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  <w:t>58.93</w:t>
            </w: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  <w:t>Tax registration using Unified Tax Identification Number (TIN)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  <w:t>66.19</w:t>
            </w: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  <w:t>Efficiency of tax collection (best of judgement vs self- assessment)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  <w:t>51.67</w:t>
            </w:r>
          </w:p>
        </w:tc>
      </w:tr>
      <w:tr w:rsidR="00F226D1" w:rsidRPr="00F427BA" w:rsidTr="001E3C23">
        <w:trPr>
          <w:trHeight w:val="15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  <w:t>Tax Processing (manual vs automated)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  <w:t>88.02</w:t>
            </w: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  <w:t>Tax payment (cash paid to tax officers versus bank and electronic payment)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006666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006666"/>
                <w:sz w:val="23"/>
                <w:szCs w:val="23"/>
              </w:rPr>
              <w:t>88.02</w:t>
            </w:r>
          </w:p>
        </w:tc>
      </w:tr>
      <w:tr w:rsidR="00F226D1" w:rsidRPr="00F427BA" w:rsidTr="001E3C23">
        <w:trPr>
          <w:trHeight w:val="174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  <w:t>Tax Enforcement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  <w:t>66.89</w:t>
            </w: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Capacity for taxpayer audits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72.48</w:t>
            </w: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Tax awareness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72</w:t>
            </w:r>
            <w:r w:rsidRPr="00F427BA"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.</w:t>
            </w: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73</w:t>
            </w: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Complaints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34.86</w:t>
            </w: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Double Taxation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87.50</w:t>
            </w:r>
          </w:p>
        </w:tc>
      </w:tr>
    </w:tbl>
    <w:p w:rsidR="00F226D1" w:rsidRPr="001F2CAC" w:rsidRDefault="00F226D1" w:rsidP="00F226D1">
      <w:pPr>
        <w:spacing w:line="480" w:lineRule="auto"/>
        <w:jc w:val="both"/>
        <w:rPr>
          <w:rFonts w:ascii="Garamond" w:hAnsi="Garamond"/>
          <w:sz w:val="24"/>
          <w:szCs w:val="24"/>
        </w:rPr>
      </w:pPr>
    </w:p>
    <w:p w:rsidR="00F226D1" w:rsidRDefault="00F226D1" w:rsidP="00F226D1">
      <w:pPr>
        <w:tabs>
          <w:tab w:val="left" w:pos="3024"/>
        </w:tabs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</w:p>
    <w:p w:rsidR="00F226D1" w:rsidRDefault="00F226D1" w:rsidP="00F226D1">
      <w:pPr>
        <w:jc w:val="both"/>
        <w:rPr>
          <w:rFonts w:ascii="Garamond" w:hAnsi="Garamond"/>
          <w:sz w:val="24"/>
          <w:szCs w:val="24"/>
        </w:rPr>
      </w:pPr>
    </w:p>
    <w:p w:rsidR="00F226D1" w:rsidRPr="002073EA" w:rsidRDefault="00F226D1" w:rsidP="00F226D1">
      <w:pPr>
        <w:jc w:val="both"/>
        <w:rPr>
          <w:rFonts w:ascii="Garamond" w:hAnsi="Garamond"/>
          <w:b/>
          <w:sz w:val="2"/>
          <w:szCs w:val="24"/>
        </w:rPr>
      </w:pPr>
    </w:p>
    <w:p w:rsidR="00F226D1" w:rsidRPr="001F2CAC" w:rsidRDefault="00F226D1" w:rsidP="00F226D1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1DF840BB" wp14:editId="57D817C1">
            <wp:simplePos x="0" y="0"/>
            <wp:positionH relativeFrom="column">
              <wp:posOffset>0</wp:posOffset>
            </wp:positionH>
            <wp:positionV relativeFrom="paragraph">
              <wp:posOffset>210820</wp:posOffset>
            </wp:positionV>
            <wp:extent cx="464820" cy="464820"/>
            <wp:effectExtent l="0" t="0" r="0" b="0"/>
            <wp:wrapSquare wrapText="bothSides"/>
            <wp:docPr id="18" name="Graphic 18" descr="Handsh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wnload?provider=MicrosoftIcon&amp;fileName=Handshake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226D1" w:rsidRPr="002073EA" w:rsidRDefault="00F226D1" w:rsidP="00F226D1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Recommended actions for the Governor</w:t>
      </w:r>
    </w:p>
    <w:p w:rsidR="00F226D1" w:rsidRDefault="0029625E" w:rsidP="00F226D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</w:t>
      </w:r>
      <w:r w:rsidR="00F226D1">
        <w:rPr>
          <w:rFonts w:ascii="Garamond" w:hAnsi="Garamond"/>
          <w:sz w:val="24"/>
          <w:szCs w:val="24"/>
        </w:rPr>
        <w:t xml:space="preserve"> timely release of budgeted funds to at least cover essential services </w:t>
      </w:r>
      <w:r>
        <w:rPr>
          <w:rFonts w:ascii="Garamond" w:hAnsi="Garamond"/>
          <w:sz w:val="24"/>
          <w:szCs w:val="24"/>
        </w:rPr>
        <w:t>required to</w:t>
      </w:r>
      <w:r w:rsidR="00F226D1">
        <w:rPr>
          <w:rFonts w:ascii="Garamond" w:hAnsi="Garamond"/>
          <w:sz w:val="24"/>
          <w:szCs w:val="24"/>
        </w:rPr>
        <w:t xml:space="preserve"> sustain revenue generation and collection.</w:t>
      </w:r>
    </w:p>
    <w:p w:rsidR="00F226D1" w:rsidRPr="001F2CAC" w:rsidRDefault="00F226D1" w:rsidP="00F226D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 interagency cooperation to strengthen the State’s tax collection mechanism.</w:t>
      </w:r>
    </w:p>
    <w:p w:rsidR="00F226D1" w:rsidRPr="001F2CAC" w:rsidRDefault="00F226D1" w:rsidP="00F226D1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8142E71" wp14:editId="59466B08">
            <wp:simplePos x="0" y="0"/>
            <wp:positionH relativeFrom="column">
              <wp:posOffset>114300</wp:posOffset>
            </wp:positionH>
            <wp:positionV relativeFrom="paragraph">
              <wp:posOffset>177800</wp:posOffset>
            </wp:positionV>
            <wp:extent cx="548640" cy="548640"/>
            <wp:effectExtent l="0" t="0" r="3810" b="0"/>
            <wp:wrapSquare wrapText="bothSides"/>
            <wp:docPr id="14" name="Graphic 14" descr="Mon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ownload?provider=MicrosoftIcon&amp;fileName=Money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226D1" w:rsidRPr="002073EA" w:rsidRDefault="00F226D1" w:rsidP="00F226D1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Revenue Profile</w:t>
      </w:r>
    </w:p>
    <w:p w:rsidR="00F226D1" w:rsidRDefault="00F226D1" w:rsidP="00F226D1">
      <w:p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464820</wp:posOffset>
            </wp:positionH>
            <wp:positionV relativeFrom="paragraph">
              <wp:posOffset>6350</wp:posOffset>
            </wp:positionV>
            <wp:extent cx="5654040" cy="2979420"/>
            <wp:effectExtent l="0" t="0" r="3810" b="11430"/>
            <wp:wrapSquare wrapText="bothSides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A919CDE-5140-4C9B-915D-6AE70126C61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226D1" w:rsidRPr="002073EA" w:rsidRDefault="00F226D1" w:rsidP="00F226D1">
      <w:pPr>
        <w:rPr>
          <w:rFonts w:ascii="Garamond" w:hAnsi="Garamond"/>
          <w:sz w:val="24"/>
          <w:szCs w:val="24"/>
        </w:rPr>
      </w:pPr>
    </w:p>
    <w:p w:rsidR="00F226D1" w:rsidRPr="002073EA" w:rsidRDefault="00F226D1" w:rsidP="00F226D1">
      <w:pPr>
        <w:rPr>
          <w:rFonts w:ascii="Garamond" w:hAnsi="Garamond"/>
          <w:sz w:val="24"/>
          <w:szCs w:val="24"/>
        </w:rPr>
      </w:pPr>
    </w:p>
    <w:p w:rsidR="00F226D1" w:rsidRPr="002073EA" w:rsidRDefault="00F226D1" w:rsidP="00F226D1">
      <w:pPr>
        <w:rPr>
          <w:rFonts w:ascii="Garamond" w:hAnsi="Garamond"/>
          <w:sz w:val="24"/>
          <w:szCs w:val="24"/>
        </w:rPr>
      </w:pPr>
    </w:p>
    <w:p w:rsidR="00F226D1" w:rsidRPr="002073EA" w:rsidRDefault="00F226D1" w:rsidP="00F226D1">
      <w:pPr>
        <w:rPr>
          <w:rFonts w:ascii="Garamond" w:hAnsi="Garamond"/>
          <w:sz w:val="24"/>
          <w:szCs w:val="24"/>
        </w:rPr>
      </w:pPr>
    </w:p>
    <w:p w:rsidR="00F226D1" w:rsidRPr="002073EA" w:rsidRDefault="00F226D1" w:rsidP="00F226D1">
      <w:pPr>
        <w:rPr>
          <w:rFonts w:ascii="Garamond" w:hAnsi="Garamond"/>
          <w:sz w:val="24"/>
          <w:szCs w:val="24"/>
        </w:rPr>
      </w:pPr>
    </w:p>
    <w:p w:rsidR="00F226D1" w:rsidRPr="002073EA" w:rsidRDefault="00F226D1" w:rsidP="00F226D1">
      <w:pPr>
        <w:rPr>
          <w:rFonts w:ascii="Garamond" w:hAnsi="Garamond"/>
          <w:sz w:val="24"/>
          <w:szCs w:val="24"/>
        </w:rPr>
      </w:pPr>
    </w:p>
    <w:p w:rsidR="00F226D1" w:rsidRPr="002073EA" w:rsidRDefault="00F226D1" w:rsidP="00F226D1">
      <w:pPr>
        <w:rPr>
          <w:rFonts w:ascii="Garamond" w:hAnsi="Garamond"/>
          <w:sz w:val="24"/>
          <w:szCs w:val="24"/>
        </w:rPr>
      </w:pPr>
    </w:p>
    <w:p w:rsidR="00F226D1" w:rsidRPr="002073EA" w:rsidRDefault="00F226D1" w:rsidP="00F226D1">
      <w:pPr>
        <w:rPr>
          <w:rFonts w:ascii="Garamond" w:hAnsi="Garamond"/>
          <w:sz w:val="24"/>
          <w:szCs w:val="24"/>
        </w:rPr>
      </w:pPr>
    </w:p>
    <w:p w:rsidR="00F226D1" w:rsidRPr="002073EA" w:rsidRDefault="00F226D1" w:rsidP="00F226D1">
      <w:pPr>
        <w:rPr>
          <w:rFonts w:ascii="Garamond" w:hAnsi="Garamond"/>
          <w:sz w:val="24"/>
          <w:szCs w:val="24"/>
        </w:rPr>
      </w:pPr>
    </w:p>
    <w:p w:rsidR="00F226D1" w:rsidRPr="002073EA" w:rsidRDefault="00F226D1" w:rsidP="00F226D1">
      <w:pPr>
        <w:rPr>
          <w:rFonts w:ascii="Garamond" w:hAnsi="Garamond"/>
          <w:sz w:val="24"/>
          <w:szCs w:val="24"/>
        </w:rPr>
      </w:pPr>
    </w:p>
    <w:bookmarkEnd w:id="0"/>
    <w:p w:rsidR="00F226D1" w:rsidRPr="002073EA" w:rsidRDefault="00F226D1" w:rsidP="00F226D1">
      <w:pPr>
        <w:ind w:firstLine="720"/>
        <w:jc w:val="center"/>
        <w:rPr>
          <w:rFonts w:ascii="Garamond" w:hAnsi="Garamond"/>
          <w:sz w:val="24"/>
          <w:szCs w:val="24"/>
        </w:rPr>
      </w:pPr>
    </w:p>
    <w:p w:rsidR="00517675" w:rsidRDefault="00517675">
      <w:bookmarkStart w:id="1" w:name="_GoBack"/>
      <w:bookmarkEnd w:id="1"/>
    </w:p>
    <w:sectPr w:rsidR="00517675" w:rsidSect="00F226D1">
      <w:headerReference w:type="default" r:id="rId16"/>
      <w:footerReference w:type="default" r:id="rId17"/>
      <w:headerReference w:type="first" r:id="rId18"/>
      <w:pgSz w:w="12240" w:h="15840"/>
      <w:pgMar w:top="1710" w:right="1440" w:bottom="630" w:left="1440" w:header="540" w:footer="39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26D1" w:rsidRDefault="00F226D1" w:rsidP="00F226D1">
      <w:pPr>
        <w:spacing w:after="0" w:line="240" w:lineRule="auto"/>
      </w:pPr>
      <w:r>
        <w:separator/>
      </w:r>
    </w:p>
  </w:endnote>
  <w:endnote w:type="continuationSeparator" w:id="0">
    <w:p w:rsidR="00F226D1" w:rsidRDefault="00F226D1" w:rsidP="00F22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885DAE" w:rsidRDefault="00F226D1" w:rsidP="009C2C9D">
    <w:pPr>
      <w:tabs>
        <w:tab w:val="left" w:pos="5328"/>
      </w:tabs>
      <w:spacing w:after="0" w:line="360" w:lineRule="auto"/>
      <w:rPr>
        <w:rFonts w:ascii="Garamond" w:hAnsi="Garamond"/>
        <w:b/>
        <w:sz w:val="24"/>
        <w:szCs w:val="24"/>
      </w:rPr>
    </w:pPr>
    <w:r w:rsidRPr="00885DAE">
      <w:rPr>
        <w:rFonts w:ascii="Garamond" w:hAnsi="Garamond"/>
        <w:b/>
        <w:sz w:val="24"/>
        <w:szCs w:val="24"/>
      </w:rPr>
      <w:t>Contact for further information:</w:t>
    </w:r>
  </w:p>
  <w:p w:rsidR="009C2C9D" w:rsidRPr="00B76193" w:rsidRDefault="00F226D1" w:rsidP="009C2C9D">
    <w:pPr>
      <w:spacing w:after="0" w:line="276" w:lineRule="auto"/>
      <w:rPr>
        <w:rFonts w:ascii="Garamond" w:hAnsi="Garamond"/>
      </w:rPr>
    </w:pPr>
    <w:r w:rsidRPr="00B76193">
      <w:rPr>
        <w:rFonts w:ascii="Garamond" w:hAnsi="Garamond"/>
        <w:i/>
        <w:color w:val="0D0D0D" w:themeColor="text1" w:themeTint="F2"/>
        <w:lang w:val="en-GB"/>
      </w:rPr>
      <w:t>David Nabena |</w:t>
    </w:r>
    <w:r>
      <w:rPr>
        <w:rFonts w:ascii="Garamond" w:hAnsi="Garamond"/>
        <w:i/>
        <w:color w:val="0D0D0D" w:themeColor="text1" w:themeTint="F2"/>
        <w:lang w:val="en-GB"/>
      </w:rPr>
      <w:t xml:space="preserve">Tel: 08188719234 </w:t>
    </w:r>
    <w:r w:rsidRPr="00B76193">
      <w:rPr>
        <w:rFonts w:ascii="Garamond" w:hAnsi="Garamond"/>
        <w:i/>
        <w:color w:val="0D0D0D" w:themeColor="text1" w:themeTint="F2"/>
        <w:lang w:val="en-GB"/>
      </w:rPr>
      <w:t xml:space="preserve">| Email: </w:t>
    </w:r>
    <w:hyperlink r:id="rId1" w:history="1">
      <w:r w:rsidRPr="00B76193">
        <w:rPr>
          <w:rStyle w:val="Hyperlink"/>
          <w:rFonts w:ascii="Garamond" w:hAnsi="Garamond"/>
          <w:i/>
          <w:lang w:val="en-GB"/>
        </w:rPr>
        <w:t>dnabena@nggovernorsforum.org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26D1" w:rsidRDefault="00F226D1" w:rsidP="00F226D1">
      <w:pPr>
        <w:spacing w:after="0" w:line="240" w:lineRule="auto"/>
      </w:pPr>
      <w:r>
        <w:separator/>
      </w:r>
    </w:p>
  </w:footnote>
  <w:footnote w:type="continuationSeparator" w:id="0">
    <w:p w:rsidR="00F226D1" w:rsidRDefault="00F226D1" w:rsidP="00F22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7E09" w:rsidRDefault="00F226D1" w:rsidP="00B87E09">
    <w:pPr>
      <w:pStyle w:val="Header"/>
      <w:ind w:left="2520" w:firstLine="4680"/>
    </w:pPr>
    <w:r w:rsidRPr="00B87E09">
      <w:rPr>
        <w:rFonts w:ascii="Calibri" w:eastAsia="Times New Roman" w:hAnsi="Calibri" w:cs="Times New Roman"/>
        <w:noProof/>
        <w:color w:val="000000"/>
      </w:rPr>
      <w:drawing>
        <wp:anchor distT="0" distB="0" distL="114300" distR="114300" simplePos="0" relativeHeight="251659264" behindDoc="0" locked="0" layoutInCell="1" allowOverlap="1" wp14:anchorId="6C5F3838" wp14:editId="1BFCBB46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20" name="Picture 20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87E09" w:rsidRDefault="0029625E" w:rsidP="00B87E09">
    <w:pPr>
      <w:pStyle w:val="Header"/>
      <w:ind w:left="2520" w:firstLine="4680"/>
    </w:pPr>
  </w:p>
  <w:p w:rsidR="00B87E09" w:rsidRDefault="0029625E" w:rsidP="00B87E09">
    <w:pPr>
      <w:pStyle w:val="Header"/>
      <w:ind w:left="2520" w:firstLine="4680"/>
    </w:pPr>
  </w:p>
  <w:p w:rsidR="00B87E09" w:rsidRPr="00B87E09" w:rsidRDefault="00F226D1" w:rsidP="00B87E09">
    <w:pPr>
      <w:pStyle w:val="Header"/>
      <w:ind w:left="2520"/>
      <w:jc w:val="right"/>
      <w:rPr>
        <w:rFonts w:ascii="Garamond" w:hAnsi="Garamond"/>
        <w:sz w:val="32"/>
        <w:szCs w:val="32"/>
      </w:rPr>
    </w:pPr>
    <w:r>
      <w:rPr>
        <w:rFonts w:ascii="Garamond" w:hAnsi="Garamond"/>
        <w:sz w:val="32"/>
        <w:szCs w:val="32"/>
      </w:rPr>
      <w:t>JUNE</w:t>
    </w:r>
    <w:r w:rsidRPr="00B87E09">
      <w:rPr>
        <w:rFonts w:ascii="Garamond" w:hAnsi="Garamond"/>
        <w:sz w:val="32"/>
        <w:szCs w:val="32"/>
      </w:rPr>
      <w:t xml:space="preserve"> 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F427BA" w:rsidRDefault="00F226D1" w:rsidP="009C2C9D">
    <w:pPr>
      <w:pStyle w:val="Header"/>
      <w:ind w:left="2520" w:firstLine="4680"/>
      <w:rPr>
        <w:sz w:val="28"/>
        <w:szCs w:val="28"/>
      </w:rPr>
    </w:pPr>
    <w:r w:rsidRPr="00F427BA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60288" behindDoc="0" locked="0" layoutInCell="1" allowOverlap="1" wp14:anchorId="49A93AE1" wp14:editId="7C44AA64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21" name="Picture 21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C2C9D" w:rsidRPr="00F427BA" w:rsidRDefault="0029625E" w:rsidP="009C2C9D">
    <w:pPr>
      <w:pStyle w:val="Header"/>
      <w:ind w:left="2520" w:firstLine="4680"/>
      <w:rPr>
        <w:sz w:val="42"/>
        <w:szCs w:val="28"/>
      </w:rPr>
    </w:pPr>
  </w:p>
  <w:p w:rsidR="009C2C9D" w:rsidRPr="00F427BA" w:rsidRDefault="00F226D1" w:rsidP="009C2C9D">
    <w:pPr>
      <w:pStyle w:val="Header"/>
      <w:ind w:left="2520"/>
      <w:jc w:val="right"/>
      <w:rPr>
        <w:rFonts w:ascii="Garamond" w:hAnsi="Garamond"/>
        <w:color w:val="385623" w:themeColor="accent6" w:themeShade="80"/>
        <w:sz w:val="28"/>
        <w:szCs w:val="28"/>
      </w:rPr>
    </w:pPr>
    <w:r>
      <w:rPr>
        <w:rFonts w:ascii="Garamond" w:hAnsi="Garamond"/>
        <w:color w:val="385623" w:themeColor="accent6" w:themeShade="80"/>
        <w:sz w:val="28"/>
        <w:szCs w:val="28"/>
      </w:rPr>
      <w:t xml:space="preserve">JUNE </w:t>
    </w:r>
    <w:r w:rsidRPr="00F427BA">
      <w:rPr>
        <w:rFonts w:ascii="Garamond" w:hAnsi="Garamond"/>
        <w:color w:val="385623" w:themeColor="accent6" w:themeShade="80"/>
        <w:sz w:val="28"/>
        <w:szCs w:val="28"/>
      </w:rPr>
      <w:t>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62FAE"/>
    <w:multiLevelType w:val="hybridMultilevel"/>
    <w:tmpl w:val="A828B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F017FC"/>
    <w:multiLevelType w:val="hybridMultilevel"/>
    <w:tmpl w:val="A38A7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6D1"/>
    <w:rsid w:val="001D2F49"/>
    <w:rsid w:val="0029625E"/>
    <w:rsid w:val="00453084"/>
    <w:rsid w:val="00517675"/>
    <w:rsid w:val="00604A68"/>
    <w:rsid w:val="00D76733"/>
    <w:rsid w:val="00F22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4B63856"/>
  <w15:chartTrackingRefBased/>
  <w15:docId w15:val="{BE6720B1-0AB1-43A5-83A8-9F864E156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26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6D1"/>
  </w:style>
  <w:style w:type="character" w:styleId="Hyperlink">
    <w:name w:val="Hyperlink"/>
    <w:basedOn w:val="DefaultParagraphFont"/>
    <w:uiPriority w:val="99"/>
    <w:unhideWhenUsed/>
    <w:rsid w:val="00F226D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226D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F226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6D1"/>
  </w:style>
  <w:style w:type="paragraph" w:styleId="BalloonText">
    <w:name w:val="Balloon Text"/>
    <w:basedOn w:val="Normal"/>
    <w:link w:val="BalloonTextChar"/>
    <w:uiPriority w:val="99"/>
    <w:semiHidden/>
    <w:unhideWhenUsed/>
    <w:rsid w:val="002962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2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chart" Target="charts/chart1.xml"/><Relationship Id="rId10" Type="http://schemas.openxmlformats.org/officeDocument/2006/relationships/image" Target="media/image4.sv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nabena@nggovernorsforum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C:\Users\dnabena.NGF\Documents\IGR%20DATA%20DASHBOARD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320" b="0" i="0" u="none" strike="noStrike" kern="1200" spc="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r>
              <a:rPr lang="en-US"/>
              <a:t>Cross River State's Recurrent Revenue, Jan - Apr, 2017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320" b="0" i="0" u="none" strike="noStrike" kern="1200" spc="0" baseline="0">
              <a:solidFill>
                <a:schemeClr val="bg2">
                  <a:lumMod val="10000"/>
                </a:schemeClr>
              </a:solidFill>
              <a:latin typeface="Garamond" panose="02020404030301010803" pitchFamily="18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Sheet1!$B$3</c:f>
              <c:strCache>
                <c:ptCount val="1"/>
                <c:pt idx="0">
                  <c:v>IGR</c:v>
                </c:pt>
              </c:strCache>
            </c:strRef>
          </c:tx>
          <c:spPr>
            <a:pattFill prst="wdUpDiag">
              <a:fgClr>
                <a:schemeClr val="accent6">
                  <a:lumMod val="50000"/>
                </a:schemeClr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Sheet1!$C$1:$G$1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Sheet1!$C$4:$F$4</c:f>
              <c:numCache>
                <c:formatCode>#,##0</c:formatCode>
                <c:ptCount val="4"/>
                <c:pt idx="0">
                  <c:v>1256621568</c:v>
                </c:pt>
                <c:pt idx="1">
                  <c:v>1117845665</c:v>
                </c:pt>
                <c:pt idx="2">
                  <c:v>1214373992</c:v>
                </c:pt>
                <c:pt idx="3">
                  <c:v>1031519892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489-4DA0-95A6-8DC067011659}"/>
            </c:ext>
          </c:extLst>
        </c:ser>
        <c:ser>
          <c:idx val="1"/>
          <c:order val="1"/>
          <c:tx>
            <c:strRef>
              <c:f>Sheet1!$B$14</c:f>
              <c:strCache>
                <c:ptCount val="1"/>
                <c:pt idx="0">
                  <c:v>Federation Allocation</c:v>
                </c:pt>
              </c:strCache>
            </c:strRef>
          </c:tx>
          <c:spPr>
            <a:solidFill>
              <a:schemeClr val="accent6">
                <a:lumMod val="5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Sheet1!$C$1:$G$1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Sheet1!$C$15:$F$15</c:f>
              <c:numCache>
                <c:formatCode>#,##0</c:formatCode>
                <c:ptCount val="4"/>
                <c:pt idx="0">
                  <c:v>2830745591.9400001</c:v>
                </c:pt>
                <c:pt idx="1">
                  <c:v>3228256169.6100001</c:v>
                </c:pt>
                <c:pt idx="2">
                  <c:v>2893122548.8800001</c:v>
                </c:pt>
                <c:pt idx="3">
                  <c:v>3194223700.3299999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489-4DA0-95A6-8DC06701165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95"/>
        <c:overlap val="100"/>
        <c:axId val="379581112"/>
        <c:axId val="379580784"/>
      </c:barChart>
      <c:catAx>
        <c:axId val="3795811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0784"/>
        <c:crosses val="autoZero"/>
        <c:auto val="1"/>
        <c:lblAlgn val="ctr"/>
        <c:lblOffset val="100"/>
        <c:noMultiLvlLbl val="0"/>
      </c:catAx>
      <c:valAx>
        <c:axId val="3795807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chemeClr val="bg2">
                        <a:lumMod val="10000"/>
                      </a:schemeClr>
                    </a:solidFill>
                    <a:latin typeface="Garamond" panose="02020404030301010803" pitchFamily="18" charset="0"/>
                    <a:ea typeface="+mn-ea"/>
                    <a:cs typeface="+mn-cs"/>
                  </a:defRPr>
                </a:pPr>
                <a:r>
                  <a:rPr lang="en-US"/>
                  <a:t>NGN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100" b="0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Garamond" panose="02020404030301010803" pitchFamily="18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1112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100">
          <a:solidFill>
            <a:schemeClr val="bg2">
              <a:lumMod val="10000"/>
            </a:schemeClr>
          </a:solidFill>
          <a:latin typeface="Garamond" panose="02020404030301010803" pitchFamily="18" charset="0"/>
        </a:defRPr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Nabena David</dc:creator>
  <cp:keywords/>
  <dc:description/>
  <cp:lastModifiedBy>Nabena David</cp:lastModifiedBy>
  <cp:revision>2</cp:revision>
  <cp:lastPrinted>2017-06-28T19:11:00Z</cp:lastPrinted>
  <dcterms:created xsi:type="dcterms:W3CDTF">2017-06-27T20:11:00Z</dcterms:created>
  <dcterms:modified xsi:type="dcterms:W3CDTF">2017-06-28T19:15:00Z</dcterms:modified>
</cp:coreProperties>
</file>